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D9D8E" w14:textId="77777777" w:rsidR="004552DC" w:rsidRDefault="004552DC" w:rsidP="00C17AC8">
      <w:pPr>
        <w:widowControl w:val="0"/>
        <w:autoSpaceDE w:val="0"/>
        <w:autoSpaceDN w:val="0"/>
        <w:adjustRightInd w:val="0"/>
        <w:jc w:val="center"/>
        <w:rPr>
          <w:color w:val="1A1A1A"/>
        </w:rPr>
      </w:pPr>
    </w:p>
    <w:p w14:paraId="0AE21992" w14:textId="77777777" w:rsidR="004552DC" w:rsidRDefault="004552DC" w:rsidP="00C17AC8">
      <w:pPr>
        <w:widowControl w:val="0"/>
        <w:autoSpaceDE w:val="0"/>
        <w:autoSpaceDN w:val="0"/>
        <w:adjustRightInd w:val="0"/>
        <w:jc w:val="center"/>
        <w:rPr>
          <w:color w:val="1A1A1A"/>
        </w:rPr>
      </w:pPr>
    </w:p>
    <w:p w14:paraId="1EFBA65F" w14:textId="77777777" w:rsidR="004552DC" w:rsidRDefault="004552DC" w:rsidP="00C17AC8">
      <w:pPr>
        <w:widowControl w:val="0"/>
        <w:autoSpaceDE w:val="0"/>
        <w:autoSpaceDN w:val="0"/>
        <w:adjustRightInd w:val="0"/>
        <w:jc w:val="center"/>
        <w:rPr>
          <w:color w:val="1A1A1A"/>
        </w:rPr>
      </w:pPr>
    </w:p>
    <w:p w14:paraId="372A440F" w14:textId="77777777" w:rsidR="004552DC" w:rsidRDefault="004552DC" w:rsidP="00C17AC8">
      <w:pPr>
        <w:widowControl w:val="0"/>
        <w:autoSpaceDE w:val="0"/>
        <w:autoSpaceDN w:val="0"/>
        <w:adjustRightInd w:val="0"/>
        <w:jc w:val="center"/>
        <w:rPr>
          <w:color w:val="1A1A1A"/>
        </w:rPr>
      </w:pPr>
    </w:p>
    <w:p w14:paraId="3A2B72FE" w14:textId="6A49A57B" w:rsidR="00C17AC8" w:rsidRPr="000B16CA" w:rsidRDefault="00C17AC8" w:rsidP="00C17AC8">
      <w:pPr>
        <w:widowControl w:val="0"/>
        <w:autoSpaceDE w:val="0"/>
        <w:autoSpaceDN w:val="0"/>
        <w:adjustRightInd w:val="0"/>
        <w:jc w:val="center"/>
        <w:rPr>
          <w:color w:val="1A1A1A"/>
        </w:rPr>
      </w:pPr>
      <w:r w:rsidRPr="000B16CA">
        <w:rPr>
          <w:color w:val="1A1A1A"/>
        </w:rPr>
        <w:t xml:space="preserve">General </w:t>
      </w:r>
      <w:r w:rsidR="00D66C82">
        <w:rPr>
          <w:color w:val="1A1A1A"/>
        </w:rPr>
        <w:t>Linear Model, Psychology 610</w:t>
      </w:r>
    </w:p>
    <w:p w14:paraId="2FE7498D" w14:textId="36061CDA" w:rsidR="00C17AC8" w:rsidRPr="000B16CA" w:rsidRDefault="004552DC" w:rsidP="00C17AC8">
      <w:pPr>
        <w:widowControl w:val="0"/>
        <w:autoSpaceDE w:val="0"/>
        <w:autoSpaceDN w:val="0"/>
        <w:adjustRightInd w:val="0"/>
        <w:jc w:val="center"/>
        <w:rPr>
          <w:color w:val="1A1A1A"/>
        </w:rPr>
      </w:pPr>
      <w:r>
        <w:rPr>
          <w:color w:val="1A1A1A"/>
        </w:rPr>
        <w:t>Lab Week 9</w:t>
      </w:r>
      <w:r w:rsidR="00C17AC8" w:rsidRPr="000B16CA">
        <w:rPr>
          <w:color w:val="1A1A1A"/>
        </w:rPr>
        <w:t xml:space="preserve"> – </w:t>
      </w:r>
      <w:r w:rsidR="00933382">
        <w:rPr>
          <w:color w:val="1A1A1A"/>
        </w:rPr>
        <w:t>Interactions</w:t>
      </w:r>
    </w:p>
    <w:p w14:paraId="56FD6071" w14:textId="37CB99F4" w:rsidR="00C17AC8" w:rsidRPr="000B16CA" w:rsidRDefault="00C17AC8" w:rsidP="00C17AC8">
      <w:pPr>
        <w:widowControl w:val="0"/>
        <w:autoSpaceDE w:val="0"/>
        <w:autoSpaceDN w:val="0"/>
        <w:adjustRightInd w:val="0"/>
        <w:jc w:val="center"/>
        <w:rPr>
          <w:color w:val="1A1A1A"/>
        </w:rPr>
      </w:pPr>
      <w:r w:rsidRPr="000B16CA">
        <w:rPr>
          <w:color w:val="1A1A1A"/>
        </w:rPr>
        <w:t xml:space="preserve">Friday, </w:t>
      </w:r>
      <w:r w:rsidR="004552DC">
        <w:rPr>
          <w:color w:val="1A1A1A"/>
        </w:rPr>
        <w:t>November 3rd, 2017</w:t>
      </w:r>
    </w:p>
    <w:p w14:paraId="5169AE0F" w14:textId="77777777" w:rsidR="00D77FAE" w:rsidRPr="000B16CA" w:rsidRDefault="00D77FAE" w:rsidP="0035242A">
      <w:pPr>
        <w:rPr>
          <w:rFonts w:cs="Arial"/>
        </w:rPr>
      </w:pPr>
    </w:p>
    <w:p w14:paraId="72910658" w14:textId="04C0F3FF" w:rsidR="00933382" w:rsidRDefault="00933382" w:rsidP="008B40AF">
      <w:pPr>
        <w:jc w:val="center"/>
        <w:rPr>
          <w:rFonts w:cs="Arial"/>
        </w:rPr>
      </w:pPr>
      <w:r>
        <w:rPr>
          <w:rFonts w:cs="Arial"/>
        </w:rPr>
        <w:t>Collaborative Learning in Young Children</w:t>
      </w:r>
      <w:r w:rsidR="008B40AF">
        <w:rPr>
          <w:rFonts w:cs="Arial"/>
        </w:rPr>
        <w:t xml:space="preserve">, </w:t>
      </w:r>
      <w:r>
        <w:rPr>
          <w:rFonts w:cs="Arial"/>
        </w:rPr>
        <w:t>Based on Young, Alibali, &amp; Kalish (2013)</w:t>
      </w:r>
    </w:p>
    <w:p w14:paraId="40AD460B" w14:textId="77777777" w:rsidR="00D77FAE" w:rsidRPr="000B16CA" w:rsidRDefault="00D77FAE" w:rsidP="00933382">
      <w:pPr>
        <w:jc w:val="center"/>
        <w:rPr>
          <w:rFonts w:cs="Arial"/>
        </w:rPr>
      </w:pPr>
    </w:p>
    <w:p w14:paraId="5264F960" w14:textId="26E4A1EE" w:rsidR="00F74795" w:rsidRDefault="00933382" w:rsidP="0035242A">
      <w:pPr>
        <w:rPr>
          <w:rFonts w:cs="Arial"/>
        </w:rPr>
      </w:pPr>
      <w:r>
        <w:rPr>
          <w:rFonts w:cs="Arial"/>
        </w:rPr>
        <w:tab/>
      </w:r>
      <w:r w:rsidR="00060BCE">
        <w:rPr>
          <w:rFonts w:cs="Arial"/>
        </w:rPr>
        <w:t xml:space="preserve"> These</w:t>
      </w:r>
      <w:r>
        <w:rPr>
          <w:rFonts w:cs="Arial"/>
        </w:rPr>
        <w:t xml:space="preserve"> (made up) data </w:t>
      </w:r>
      <w:r w:rsidR="00060BCE">
        <w:rPr>
          <w:rFonts w:cs="Arial"/>
        </w:rPr>
        <w:t>are</w:t>
      </w:r>
      <w:r w:rsidR="00922CFD">
        <w:rPr>
          <w:rFonts w:cs="Arial"/>
        </w:rPr>
        <w:t xml:space="preserve"> from a study on</w:t>
      </w:r>
      <w:r>
        <w:rPr>
          <w:rFonts w:cs="Arial"/>
        </w:rPr>
        <w:t xml:space="preserve"> children’s collaborative learning about a simple causal system. </w:t>
      </w:r>
      <w:r w:rsidR="00F74795">
        <w:rPr>
          <w:rFonts w:cs="Arial"/>
        </w:rPr>
        <w:t xml:space="preserve">A graduate student, Andrew, wanted to examine children’s ability to learn from active collaboration with another person. Often, teachers believe that working actively in a group is better than observing another person. However, Andrew believes that there’s a developmental trend in children’s ability to learn from collaboration. Although all preschoolers </w:t>
      </w:r>
      <w:r w:rsidR="006A692F">
        <w:rPr>
          <w:rFonts w:cs="Arial"/>
        </w:rPr>
        <w:t>have the ability</w:t>
      </w:r>
      <w:r w:rsidR="00F74795">
        <w:rPr>
          <w:rFonts w:cs="Arial"/>
        </w:rPr>
        <w:t xml:space="preserve"> to learn about simple causal systems, older preschoolers should be better able to learn from collaboration than younger preschoolers.</w:t>
      </w:r>
    </w:p>
    <w:p w14:paraId="06BFA880" w14:textId="071F34D5" w:rsidR="00933382" w:rsidRDefault="00F74795" w:rsidP="00F74795">
      <w:pPr>
        <w:ind w:firstLine="720"/>
        <w:rPr>
          <w:rFonts w:cs="Arial"/>
        </w:rPr>
      </w:pPr>
      <w:r>
        <w:rPr>
          <w:rFonts w:cs="Arial"/>
        </w:rPr>
        <w:t>To test his hypothesis, Andrew had children learn about a simple causal system (a blicket detector) with an ad</w:t>
      </w:r>
      <w:r w:rsidR="00ED2D0F">
        <w:rPr>
          <w:rFonts w:cs="Arial"/>
        </w:rPr>
        <w:t>ult experimenter. In the Observation</w:t>
      </w:r>
      <w:r>
        <w:rPr>
          <w:rFonts w:cs="Arial"/>
        </w:rPr>
        <w:t xml:space="preserve"> condition, the child watched the adult experimenter demonstrate causal properties of the system. In the Collaboration condition, the child and adult acted on the simple causal system together to learn about its causal properties. Andrew measured children’s learning with a measure of the number of correct causal inferenc</w:t>
      </w:r>
      <w:r w:rsidR="008B40AF">
        <w:rPr>
          <w:rFonts w:cs="Arial"/>
        </w:rPr>
        <w:t>es each child made at posttest.</w:t>
      </w:r>
    </w:p>
    <w:p w14:paraId="01AFFB10" w14:textId="5B33A869" w:rsidR="00933382" w:rsidRDefault="008B40AF" w:rsidP="008B40AF">
      <w:pPr>
        <w:ind w:firstLine="720"/>
        <w:rPr>
          <w:rFonts w:cs="Arial"/>
        </w:rPr>
      </w:pPr>
      <w:r>
        <w:rPr>
          <w:rFonts w:cs="Arial"/>
        </w:rPr>
        <w:t>The researchers also suspect creativity may play a role: specifically, they expect creativity to improve causal inferences, but that creativity will be more “helpful” for older children than younger children.</w:t>
      </w:r>
      <w:bookmarkStart w:id="0" w:name="_GoBack"/>
      <w:bookmarkEnd w:id="0"/>
    </w:p>
    <w:p w14:paraId="573F5001" w14:textId="77777777" w:rsidR="004D3674" w:rsidRPr="000B16CA" w:rsidRDefault="004D3674" w:rsidP="0035242A">
      <w:pPr>
        <w:rPr>
          <w:rFonts w:cs="Arial"/>
        </w:rPr>
      </w:pPr>
    </w:p>
    <w:p w14:paraId="32ED233D" w14:textId="77777777" w:rsidR="00C17AC8" w:rsidRPr="000B16CA" w:rsidRDefault="00B40D11" w:rsidP="00C17AC8">
      <w:pPr>
        <w:jc w:val="center"/>
        <w:outlineLvl w:val="0"/>
        <w:rPr>
          <w:b/>
        </w:rPr>
      </w:pPr>
      <w:r w:rsidRPr="000B16CA">
        <w:rPr>
          <w:b/>
        </w:rPr>
        <w:t xml:space="preserve">Codebook for the </w:t>
      </w:r>
      <w:r w:rsidR="00933382">
        <w:rPr>
          <w:b/>
        </w:rPr>
        <w:t>Collaboration</w:t>
      </w:r>
      <w:r w:rsidR="00C17AC8" w:rsidRPr="000B16CA">
        <w:rPr>
          <w:b/>
        </w:rPr>
        <w:t xml:space="preserve"> dataset</w:t>
      </w:r>
      <w:r w:rsidR="00D57BFF" w:rsidRPr="000B16CA">
        <w:rPr>
          <w:b/>
        </w:rPr>
        <w:t xml:space="preserve"> (“</w:t>
      </w:r>
      <w:r w:rsidR="00B02DA8">
        <w:rPr>
          <w:b/>
        </w:rPr>
        <w:t>Lab10_</w:t>
      </w:r>
      <w:r w:rsidR="00933382">
        <w:rPr>
          <w:b/>
        </w:rPr>
        <w:t>Data</w:t>
      </w:r>
      <w:r w:rsidR="00D57BFF" w:rsidRPr="000B16CA">
        <w:rPr>
          <w:b/>
        </w:rPr>
        <w:t>.dat”)</w:t>
      </w:r>
    </w:p>
    <w:p w14:paraId="4E6DA2B7" w14:textId="77777777" w:rsidR="00C17AC8" w:rsidRPr="000B16CA" w:rsidRDefault="00C17AC8" w:rsidP="00C17AC8"/>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83"/>
        <w:gridCol w:w="4079"/>
        <w:gridCol w:w="2787"/>
      </w:tblGrid>
      <w:tr w:rsidR="00C17AC8" w:rsidRPr="000B16CA" w14:paraId="0E60C0D6" w14:textId="77777777" w:rsidTr="0015752C">
        <w:trPr>
          <w:trHeight w:val="300"/>
          <w:jc w:val="center"/>
        </w:trPr>
        <w:tc>
          <w:tcPr>
            <w:tcW w:w="990" w:type="dxa"/>
            <w:noWrap/>
          </w:tcPr>
          <w:p w14:paraId="5F08323A" w14:textId="77777777" w:rsidR="00C17AC8" w:rsidRPr="000B16CA" w:rsidRDefault="00C17AC8" w:rsidP="0015752C">
            <w:pPr>
              <w:jc w:val="center"/>
              <w:rPr>
                <w:color w:val="000000"/>
                <w:szCs w:val="16"/>
              </w:rPr>
            </w:pPr>
            <w:r w:rsidRPr="000B16CA">
              <w:rPr>
                <w:color w:val="000000"/>
                <w:szCs w:val="16"/>
              </w:rPr>
              <w:t>Column</w:t>
            </w:r>
          </w:p>
        </w:tc>
        <w:tc>
          <w:tcPr>
            <w:tcW w:w="1483" w:type="dxa"/>
            <w:noWrap/>
          </w:tcPr>
          <w:p w14:paraId="587BBC8D" w14:textId="684D8FF0" w:rsidR="00C17AC8" w:rsidRPr="000B16CA" w:rsidRDefault="00C17AC8" w:rsidP="0015752C">
            <w:pPr>
              <w:rPr>
                <w:color w:val="000000"/>
                <w:szCs w:val="16"/>
              </w:rPr>
            </w:pPr>
            <w:r w:rsidRPr="000B16CA">
              <w:rPr>
                <w:color w:val="000000"/>
                <w:szCs w:val="16"/>
              </w:rPr>
              <w:t xml:space="preserve">Variable </w:t>
            </w:r>
          </w:p>
        </w:tc>
        <w:tc>
          <w:tcPr>
            <w:tcW w:w="4079" w:type="dxa"/>
            <w:noWrap/>
          </w:tcPr>
          <w:p w14:paraId="1DFD5321" w14:textId="77777777" w:rsidR="00C17AC8" w:rsidRPr="000B16CA" w:rsidRDefault="00C17AC8" w:rsidP="0015752C">
            <w:pPr>
              <w:rPr>
                <w:color w:val="000000"/>
                <w:szCs w:val="16"/>
              </w:rPr>
            </w:pPr>
            <w:r w:rsidRPr="000B16CA">
              <w:rPr>
                <w:color w:val="000000"/>
                <w:szCs w:val="16"/>
              </w:rPr>
              <w:t>Description</w:t>
            </w:r>
          </w:p>
        </w:tc>
        <w:tc>
          <w:tcPr>
            <w:tcW w:w="2787" w:type="dxa"/>
            <w:noWrap/>
          </w:tcPr>
          <w:p w14:paraId="1A6ACDAA" w14:textId="77777777" w:rsidR="00C17AC8" w:rsidRPr="000B16CA" w:rsidRDefault="00C17AC8" w:rsidP="0015752C">
            <w:pPr>
              <w:rPr>
                <w:color w:val="000000"/>
                <w:szCs w:val="16"/>
              </w:rPr>
            </w:pPr>
            <w:r w:rsidRPr="000B16CA">
              <w:rPr>
                <w:color w:val="000000"/>
                <w:szCs w:val="16"/>
              </w:rPr>
              <w:t>Values</w:t>
            </w:r>
          </w:p>
        </w:tc>
      </w:tr>
      <w:tr w:rsidR="00C17AC8" w:rsidRPr="000B16CA" w14:paraId="4580B257" w14:textId="77777777" w:rsidTr="0015752C">
        <w:trPr>
          <w:trHeight w:val="300"/>
          <w:jc w:val="center"/>
        </w:trPr>
        <w:tc>
          <w:tcPr>
            <w:tcW w:w="990" w:type="dxa"/>
            <w:noWrap/>
          </w:tcPr>
          <w:p w14:paraId="30D28F8F" w14:textId="77777777" w:rsidR="00C17AC8" w:rsidRPr="000B16CA" w:rsidRDefault="00C17AC8" w:rsidP="0015752C">
            <w:pPr>
              <w:jc w:val="center"/>
              <w:rPr>
                <w:color w:val="000000"/>
                <w:szCs w:val="16"/>
              </w:rPr>
            </w:pPr>
            <w:r w:rsidRPr="000B16CA">
              <w:rPr>
                <w:color w:val="000000"/>
                <w:szCs w:val="16"/>
              </w:rPr>
              <w:t>1</w:t>
            </w:r>
          </w:p>
        </w:tc>
        <w:tc>
          <w:tcPr>
            <w:tcW w:w="1483" w:type="dxa"/>
            <w:noWrap/>
          </w:tcPr>
          <w:p w14:paraId="18DA352C" w14:textId="77777777" w:rsidR="00C17AC8" w:rsidRPr="000B16CA" w:rsidRDefault="00933382" w:rsidP="0015752C">
            <w:pPr>
              <w:rPr>
                <w:color w:val="000000"/>
                <w:szCs w:val="16"/>
              </w:rPr>
            </w:pPr>
            <w:r>
              <w:rPr>
                <w:color w:val="000000"/>
                <w:szCs w:val="16"/>
              </w:rPr>
              <w:t>SubID</w:t>
            </w:r>
          </w:p>
        </w:tc>
        <w:tc>
          <w:tcPr>
            <w:tcW w:w="4079" w:type="dxa"/>
            <w:noWrap/>
          </w:tcPr>
          <w:p w14:paraId="063692C2" w14:textId="77777777" w:rsidR="00C17AC8" w:rsidRPr="000B16CA" w:rsidRDefault="00933382" w:rsidP="0015752C">
            <w:pPr>
              <w:rPr>
                <w:color w:val="000000"/>
                <w:szCs w:val="16"/>
              </w:rPr>
            </w:pPr>
            <w:r>
              <w:rPr>
                <w:color w:val="000000"/>
                <w:szCs w:val="16"/>
              </w:rPr>
              <w:t>Subject ID</w:t>
            </w:r>
          </w:p>
        </w:tc>
        <w:tc>
          <w:tcPr>
            <w:tcW w:w="2787" w:type="dxa"/>
            <w:noWrap/>
          </w:tcPr>
          <w:p w14:paraId="76A8D1AC" w14:textId="78296D28" w:rsidR="00C17AC8" w:rsidRPr="000B16CA" w:rsidRDefault="00933382" w:rsidP="0015752C">
            <w:pPr>
              <w:rPr>
                <w:color w:val="000000"/>
                <w:szCs w:val="16"/>
              </w:rPr>
            </w:pPr>
            <w:r>
              <w:rPr>
                <w:color w:val="000000"/>
                <w:szCs w:val="16"/>
              </w:rPr>
              <w:t>1 - 80</w:t>
            </w:r>
          </w:p>
        </w:tc>
      </w:tr>
      <w:tr w:rsidR="00C17AC8" w:rsidRPr="000B16CA" w14:paraId="1A0A76C3" w14:textId="77777777" w:rsidTr="0015752C">
        <w:trPr>
          <w:trHeight w:val="674"/>
          <w:jc w:val="center"/>
        </w:trPr>
        <w:tc>
          <w:tcPr>
            <w:tcW w:w="990" w:type="dxa"/>
            <w:noWrap/>
          </w:tcPr>
          <w:p w14:paraId="4B0B0447" w14:textId="77777777" w:rsidR="00C17AC8" w:rsidRPr="000B16CA" w:rsidRDefault="00C17AC8" w:rsidP="0015752C">
            <w:pPr>
              <w:jc w:val="center"/>
              <w:rPr>
                <w:color w:val="000000"/>
                <w:szCs w:val="16"/>
              </w:rPr>
            </w:pPr>
            <w:r w:rsidRPr="000B16CA">
              <w:rPr>
                <w:color w:val="000000"/>
                <w:szCs w:val="16"/>
              </w:rPr>
              <w:t>2</w:t>
            </w:r>
          </w:p>
        </w:tc>
        <w:tc>
          <w:tcPr>
            <w:tcW w:w="1483" w:type="dxa"/>
            <w:noWrap/>
          </w:tcPr>
          <w:p w14:paraId="00AFFCF3" w14:textId="77777777" w:rsidR="00C17AC8" w:rsidRPr="000B16CA" w:rsidRDefault="00933382" w:rsidP="0015752C">
            <w:pPr>
              <w:rPr>
                <w:color w:val="000000"/>
                <w:szCs w:val="16"/>
              </w:rPr>
            </w:pPr>
            <w:r>
              <w:rPr>
                <w:color w:val="000000"/>
                <w:szCs w:val="16"/>
              </w:rPr>
              <w:t>Age</w:t>
            </w:r>
          </w:p>
        </w:tc>
        <w:tc>
          <w:tcPr>
            <w:tcW w:w="4079" w:type="dxa"/>
            <w:noWrap/>
          </w:tcPr>
          <w:p w14:paraId="7A87B1FE" w14:textId="77777777" w:rsidR="004E5F20" w:rsidRPr="000B16CA" w:rsidRDefault="00933382" w:rsidP="0015752C">
            <w:pPr>
              <w:rPr>
                <w:color w:val="000000"/>
                <w:szCs w:val="16"/>
              </w:rPr>
            </w:pPr>
            <w:r>
              <w:rPr>
                <w:color w:val="000000"/>
                <w:szCs w:val="16"/>
              </w:rPr>
              <w:t>Age in months</w:t>
            </w:r>
          </w:p>
        </w:tc>
        <w:tc>
          <w:tcPr>
            <w:tcW w:w="2787" w:type="dxa"/>
            <w:noWrap/>
          </w:tcPr>
          <w:p w14:paraId="42C45490" w14:textId="77777777" w:rsidR="00933382" w:rsidRDefault="00933382" w:rsidP="0015752C">
            <w:pPr>
              <w:rPr>
                <w:color w:val="000000"/>
                <w:szCs w:val="16"/>
              </w:rPr>
            </w:pPr>
            <w:r>
              <w:rPr>
                <w:color w:val="000000"/>
                <w:szCs w:val="16"/>
              </w:rPr>
              <w:t>36 - 65 months</w:t>
            </w:r>
          </w:p>
          <w:p w14:paraId="00ECDDED" w14:textId="77777777" w:rsidR="004E5F20" w:rsidRPr="000B16CA" w:rsidRDefault="00933382" w:rsidP="0015752C">
            <w:pPr>
              <w:rPr>
                <w:color w:val="000000"/>
                <w:szCs w:val="16"/>
              </w:rPr>
            </w:pPr>
            <w:r>
              <w:rPr>
                <w:color w:val="000000"/>
                <w:szCs w:val="16"/>
              </w:rPr>
              <w:t>(3 years to 5.5 years)</w:t>
            </w:r>
          </w:p>
        </w:tc>
      </w:tr>
      <w:tr w:rsidR="00933382" w:rsidRPr="000B16CA" w14:paraId="723B1EA4" w14:textId="77777777" w:rsidTr="0015752C">
        <w:trPr>
          <w:trHeight w:val="300"/>
          <w:jc w:val="center"/>
        </w:trPr>
        <w:tc>
          <w:tcPr>
            <w:tcW w:w="990" w:type="dxa"/>
            <w:noWrap/>
          </w:tcPr>
          <w:p w14:paraId="1E7ACA05" w14:textId="77777777" w:rsidR="00933382" w:rsidRPr="000B16CA" w:rsidRDefault="00933382" w:rsidP="0015752C">
            <w:pPr>
              <w:jc w:val="center"/>
              <w:rPr>
                <w:color w:val="000000"/>
                <w:szCs w:val="16"/>
              </w:rPr>
            </w:pPr>
            <w:r w:rsidRPr="000B16CA">
              <w:rPr>
                <w:color w:val="000000"/>
                <w:szCs w:val="16"/>
              </w:rPr>
              <w:t>3</w:t>
            </w:r>
          </w:p>
        </w:tc>
        <w:tc>
          <w:tcPr>
            <w:tcW w:w="1483" w:type="dxa"/>
            <w:noWrap/>
          </w:tcPr>
          <w:p w14:paraId="3BA9C80F" w14:textId="77777777" w:rsidR="00933382" w:rsidRPr="000B16CA" w:rsidRDefault="00933382" w:rsidP="0015752C">
            <w:pPr>
              <w:rPr>
                <w:color w:val="000000"/>
                <w:szCs w:val="16"/>
              </w:rPr>
            </w:pPr>
            <w:r>
              <w:rPr>
                <w:color w:val="000000"/>
                <w:szCs w:val="16"/>
              </w:rPr>
              <w:t>Condition</w:t>
            </w:r>
          </w:p>
        </w:tc>
        <w:tc>
          <w:tcPr>
            <w:tcW w:w="4079" w:type="dxa"/>
            <w:noWrap/>
          </w:tcPr>
          <w:p w14:paraId="7B6CB49F" w14:textId="11B997D5" w:rsidR="00933382" w:rsidRPr="000B16CA" w:rsidRDefault="00ED2D0F" w:rsidP="0015752C">
            <w:pPr>
              <w:rPr>
                <w:color w:val="000000"/>
                <w:szCs w:val="16"/>
              </w:rPr>
            </w:pPr>
            <w:r>
              <w:rPr>
                <w:color w:val="000000"/>
                <w:szCs w:val="16"/>
              </w:rPr>
              <w:t>Observation</w:t>
            </w:r>
            <w:r w:rsidR="00933382">
              <w:rPr>
                <w:color w:val="000000"/>
                <w:szCs w:val="16"/>
              </w:rPr>
              <w:t xml:space="preserve"> and Collaboration Conditions</w:t>
            </w:r>
          </w:p>
        </w:tc>
        <w:tc>
          <w:tcPr>
            <w:tcW w:w="2787" w:type="dxa"/>
            <w:noWrap/>
          </w:tcPr>
          <w:p w14:paraId="64A60A87" w14:textId="77777777" w:rsidR="00933382" w:rsidRPr="000B16CA" w:rsidRDefault="00933382" w:rsidP="0015752C">
            <w:pPr>
              <w:rPr>
                <w:color w:val="000000"/>
                <w:szCs w:val="16"/>
              </w:rPr>
            </w:pPr>
            <w:r w:rsidRPr="000B16CA">
              <w:rPr>
                <w:color w:val="000000"/>
                <w:szCs w:val="16"/>
              </w:rPr>
              <w:t xml:space="preserve">0 = </w:t>
            </w:r>
            <w:r>
              <w:rPr>
                <w:color w:val="000000"/>
                <w:szCs w:val="16"/>
              </w:rPr>
              <w:t>Observe</w:t>
            </w:r>
          </w:p>
          <w:p w14:paraId="50EEBFA6" w14:textId="77777777" w:rsidR="00933382" w:rsidRPr="000B16CA" w:rsidRDefault="00933382" w:rsidP="0015752C">
            <w:pPr>
              <w:rPr>
                <w:color w:val="000000"/>
                <w:szCs w:val="16"/>
              </w:rPr>
            </w:pPr>
            <w:r>
              <w:rPr>
                <w:color w:val="000000"/>
                <w:szCs w:val="16"/>
              </w:rPr>
              <w:t>1 = Collaboration</w:t>
            </w:r>
          </w:p>
        </w:tc>
      </w:tr>
      <w:tr w:rsidR="00933382" w:rsidRPr="000B16CA" w14:paraId="6A38F6CA" w14:textId="77777777" w:rsidTr="0015752C">
        <w:trPr>
          <w:trHeight w:val="774"/>
          <w:jc w:val="center"/>
        </w:trPr>
        <w:tc>
          <w:tcPr>
            <w:tcW w:w="990" w:type="dxa"/>
            <w:noWrap/>
          </w:tcPr>
          <w:p w14:paraId="61136386" w14:textId="77777777" w:rsidR="00933382" w:rsidRPr="000B16CA" w:rsidRDefault="00933382" w:rsidP="0015752C">
            <w:pPr>
              <w:jc w:val="center"/>
              <w:rPr>
                <w:color w:val="000000"/>
                <w:szCs w:val="16"/>
              </w:rPr>
            </w:pPr>
            <w:r>
              <w:rPr>
                <w:color w:val="000000"/>
                <w:szCs w:val="16"/>
              </w:rPr>
              <w:t>4</w:t>
            </w:r>
          </w:p>
        </w:tc>
        <w:tc>
          <w:tcPr>
            <w:tcW w:w="1483" w:type="dxa"/>
            <w:noWrap/>
          </w:tcPr>
          <w:p w14:paraId="3FDE05E3" w14:textId="77777777" w:rsidR="00933382" w:rsidRPr="000B16CA" w:rsidRDefault="00933382" w:rsidP="0015752C">
            <w:pPr>
              <w:rPr>
                <w:color w:val="000000"/>
                <w:szCs w:val="16"/>
              </w:rPr>
            </w:pPr>
            <w:r>
              <w:rPr>
                <w:color w:val="000000"/>
                <w:szCs w:val="16"/>
              </w:rPr>
              <w:t>Inferences</w:t>
            </w:r>
          </w:p>
        </w:tc>
        <w:tc>
          <w:tcPr>
            <w:tcW w:w="4079" w:type="dxa"/>
            <w:noWrap/>
          </w:tcPr>
          <w:p w14:paraId="4394B91F" w14:textId="780757E1" w:rsidR="00933382" w:rsidRPr="000B16CA" w:rsidRDefault="008B40AF" w:rsidP="0015752C">
            <w:pPr>
              <w:rPr>
                <w:color w:val="000000"/>
                <w:szCs w:val="16"/>
              </w:rPr>
            </w:pPr>
            <w:r>
              <w:rPr>
                <w:color w:val="000000"/>
                <w:szCs w:val="16"/>
              </w:rPr>
              <w:t xml:space="preserve">Number </w:t>
            </w:r>
            <w:r w:rsidR="00933382">
              <w:rPr>
                <w:color w:val="000000"/>
                <w:szCs w:val="16"/>
              </w:rPr>
              <w:t>of correct causal inferences</w:t>
            </w:r>
          </w:p>
        </w:tc>
        <w:tc>
          <w:tcPr>
            <w:tcW w:w="2787" w:type="dxa"/>
            <w:noWrap/>
          </w:tcPr>
          <w:p w14:paraId="3B8EA411" w14:textId="4822CB7F" w:rsidR="00933382" w:rsidRPr="000B16CA" w:rsidRDefault="00933382" w:rsidP="008B40AF">
            <w:pPr>
              <w:rPr>
                <w:color w:val="000000"/>
                <w:szCs w:val="16"/>
              </w:rPr>
            </w:pPr>
            <w:r>
              <w:rPr>
                <w:color w:val="000000"/>
                <w:szCs w:val="16"/>
              </w:rPr>
              <w:t>0 – 100</w:t>
            </w:r>
          </w:p>
        </w:tc>
      </w:tr>
      <w:tr w:rsidR="008B40AF" w:rsidRPr="000B16CA" w14:paraId="34792F8E" w14:textId="77777777" w:rsidTr="0015752C">
        <w:trPr>
          <w:trHeight w:val="774"/>
          <w:jc w:val="center"/>
        </w:trPr>
        <w:tc>
          <w:tcPr>
            <w:tcW w:w="990" w:type="dxa"/>
            <w:noWrap/>
          </w:tcPr>
          <w:p w14:paraId="727D0077" w14:textId="28222212" w:rsidR="008B40AF" w:rsidRDefault="008B40AF" w:rsidP="0015752C">
            <w:pPr>
              <w:jc w:val="center"/>
              <w:rPr>
                <w:color w:val="000000"/>
                <w:szCs w:val="16"/>
              </w:rPr>
            </w:pPr>
            <w:r>
              <w:rPr>
                <w:color w:val="000000"/>
                <w:szCs w:val="16"/>
              </w:rPr>
              <w:t>5</w:t>
            </w:r>
          </w:p>
        </w:tc>
        <w:tc>
          <w:tcPr>
            <w:tcW w:w="1483" w:type="dxa"/>
            <w:noWrap/>
          </w:tcPr>
          <w:p w14:paraId="4087D7FB" w14:textId="4081CAF4" w:rsidR="008B40AF" w:rsidRDefault="008B40AF" w:rsidP="0015752C">
            <w:pPr>
              <w:rPr>
                <w:color w:val="000000"/>
                <w:szCs w:val="16"/>
              </w:rPr>
            </w:pPr>
            <w:r>
              <w:rPr>
                <w:color w:val="000000"/>
                <w:szCs w:val="16"/>
              </w:rPr>
              <w:t>Creativity</w:t>
            </w:r>
          </w:p>
        </w:tc>
        <w:tc>
          <w:tcPr>
            <w:tcW w:w="4079" w:type="dxa"/>
            <w:noWrap/>
          </w:tcPr>
          <w:p w14:paraId="367590AD" w14:textId="28BE81D7" w:rsidR="008B40AF" w:rsidRDefault="008B40AF" w:rsidP="0015752C">
            <w:pPr>
              <w:rPr>
                <w:color w:val="000000"/>
                <w:szCs w:val="16"/>
              </w:rPr>
            </w:pPr>
            <w:r>
              <w:rPr>
                <w:color w:val="000000"/>
                <w:szCs w:val="16"/>
              </w:rPr>
              <w:t>Child’s creativity, as assessed by teacher</w:t>
            </w:r>
          </w:p>
        </w:tc>
        <w:tc>
          <w:tcPr>
            <w:tcW w:w="2787" w:type="dxa"/>
            <w:noWrap/>
          </w:tcPr>
          <w:p w14:paraId="573C042E" w14:textId="14A2E473" w:rsidR="008B40AF" w:rsidRDefault="008B40AF" w:rsidP="0015752C">
            <w:pPr>
              <w:rPr>
                <w:color w:val="000000"/>
                <w:szCs w:val="16"/>
              </w:rPr>
            </w:pPr>
            <w:r>
              <w:rPr>
                <w:color w:val="000000"/>
                <w:szCs w:val="16"/>
              </w:rPr>
              <w:t>1 – 7, very low to very high creativity</w:t>
            </w:r>
          </w:p>
        </w:tc>
      </w:tr>
    </w:tbl>
    <w:p w14:paraId="2660A2B0" w14:textId="77777777" w:rsidR="00943638" w:rsidRDefault="00943638" w:rsidP="0035242A">
      <w:pPr>
        <w:rPr>
          <w:rFonts w:cs="Arial"/>
        </w:rPr>
      </w:pPr>
    </w:p>
    <w:p w14:paraId="43744776" w14:textId="0A865C30" w:rsidR="00C17AC8" w:rsidRPr="00D66C82" w:rsidRDefault="00C17AC8" w:rsidP="00D66C82">
      <w:pPr>
        <w:rPr>
          <w:rFonts w:cs="Arial"/>
        </w:rPr>
      </w:pPr>
    </w:p>
    <w:sectPr w:rsidR="00C17AC8" w:rsidRPr="00D66C82" w:rsidSect="00F7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D095A"/>
    <w:multiLevelType w:val="hybridMultilevel"/>
    <w:tmpl w:val="18A4C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1F00"/>
    <w:multiLevelType w:val="hybridMultilevel"/>
    <w:tmpl w:val="27D0D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605A8"/>
    <w:multiLevelType w:val="hybridMultilevel"/>
    <w:tmpl w:val="E466D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A4C6F"/>
    <w:multiLevelType w:val="hybridMultilevel"/>
    <w:tmpl w:val="1C8A1F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181092"/>
    <w:rsid w:val="00060BCE"/>
    <w:rsid w:val="0008776B"/>
    <w:rsid w:val="000B16CA"/>
    <w:rsid w:val="000F7064"/>
    <w:rsid w:val="00115009"/>
    <w:rsid w:val="00156F72"/>
    <w:rsid w:val="00157247"/>
    <w:rsid w:val="0015752C"/>
    <w:rsid w:val="001756B6"/>
    <w:rsid w:val="00181092"/>
    <w:rsid w:val="00201823"/>
    <w:rsid w:val="00205D61"/>
    <w:rsid w:val="002D42F2"/>
    <w:rsid w:val="0035242A"/>
    <w:rsid w:val="003A0C92"/>
    <w:rsid w:val="004552DC"/>
    <w:rsid w:val="004A1837"/>
    <w:rsid w:val="004D3674"/>
    <w:rsid w:val="004E5F20"/>
    <w:rsid w:val="005255A7"/>
    <w:rsid w:val="005337FE"/>
    <w:rsid w:val="005D715C"/>
    <w:rsid w:val="006205F6"/>
    <w:rsid w:val="006A692F"/>
    <w:rsid w:val="0074472E"/>
    <w:rsid w:val="00747079"/>
    <w:rsid w:val="007F413C"/>
    <w:rsid w:val="00821EF3"/>
    <w:rsid w:val="00837E72"/>
    <w:rsid w:val="0087352E"/>
    <w:rsid w:val="008B40AF"/>
    <w:rsid w:val="00922CFD"/>
    <w:rsid w:val="00933382"/>
    <w:rsid w:val="00943638"/>
    <w:rsid w:val="00956021"/>
    <w:rsid w:val="00973B7F"/>
    <w:rsid w:val="00A641E0"/>
    <w:rsid w:val="00A64C95"/>
    <w:rsid w:val="00A914B3"/>
    <w:rsid w:val="00B02DA8"/>
    <w:rsid w:val="00B23BB2"/>
    <w:rsid w:val="00B37B41"/>
    <w:rsid w:val="00B40D11"/>
    <w:rsid w:val="00B64911"/>
    <w:rsid w:val="00B80D96"/>
    <w:rsid w:val="00B90F61"/>
    <w:rsid w:val="00B92D04"/>
    <w:rsid w:val="00BE6963"/>
    <w:rsid w:val="00C17AC8"/>
    <w:rsid w:val="00CA5072"/>
    <w:rsid w:val="00CA5D41"/>
    <w:rsid w:val="00CF5080"/>
    <w:rsid w:val="00D30C17"/>
    <w:rsid w:val="00D579EF"/>
    <w:rsid w:val="00D57BFF"/>
    <w:rsid w:val="00D66C82"/>
    <w:rsid w:val="00D77FAE"/>
    <w:rsid w:val="00E86D0F"/>
    <w:rsid w:val="00ED2D0F"/>
    <w:rsid w:val="00EF15B2"/>
    <w:rsid w:val="00EF3A00"/>
    <w:rsid w:val="00F0053C"/>
    <w:rsid w:val="00F221D4"/>
    <w:rsid w:val="00F31CE3"/>
    <w:rsid w:val="00F463D9"/>
    <w:rsid w:val="00F747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147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1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7FAE"/>
    <w:rPr>
      <w:szCs w:val="20"/>
    </w:rPr>
  </w:style>
  <w:style w:type="character" w:customStyle="1" w:styleId="BodyTextChar">
    <w:name w:val="Body Text Char"/>
    <w:basedOn w:val="DefaultParagraphFont"/>
    <w:link w:val="BodyText"/>
    <w:rsid w:val="00D77FAE"/>
    <w:rPr>
      <w:sz w:val="24"/>
    </w:rPr>
  </w:style>
  <w:style w:type="paragraph" w:styleId="ListParagraph">
    <w:name w:val="List Paragraph"/>
    <w:basedOn w:val="Normal"/>
    <w:uiPriority w:val="34"/>
    <w:qFormat/>
    <w:rsid w:val="00B4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You believe that drug withdrawal increases anxiety response</vt:lpstr>
    </vt:vector>
  </TitlesOfParts>
  <Company>UW-Madison</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believe that drug withdrawal increases anxiety response</dc:title>
  <dc:subject/>
  <dc:creator>Curtin</dc:creator>
  <cp:keywords/>
  <dc:description/>
  <cp:lastModifiedBy>MITCHELL CAMPBELL</cp:lastModifiedBy>
  <cp:revision>20</cp:revision>
  <dcterms:created xsi:type="dcterms:W3CDTF">2013-10-29T14:45:00Z</dcterms:created>
  <dcterms:modified xsi:type="dcterms:W3CDTF">2017-11-02T15:24:00Z</dcterms:modified>
</cp:coreProperties>
</file>