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8D5" w:rsidRDefault="00B708D5">
      <w:r>
        <w:t>Study1:</w:t>
      </w:r>
    </w:p>
    <w:p w:rsidR="00745C47" w:rsidRDefault="00B708D5">
      <w:r>
        <w:t xml:space="preserve">8. </w:t>
      </w:r>
      <w:r w:rsidR="00BD0E7E">
        <w:rPr>
          <w:noProof/>
        </w:rPr>
        <w:drawing>
          <wp:inline distT="0" distB="0" distL="0" distR="0" wp14:anchorId="4EC95E38" wp14:editId="7BA799A6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Figure 1</w:t>
      </w:r>
    </w:p>
    <w:p w:rsidR="00B708D5" w:rsidRDefault="00B708D5"/>
    <w:p w:rsidR="00B708D5" w:rsidRDefault="00B708D5">
      <w:r>
        <w:t xml:space="preserve">9. </w:t>
      </w:r>
      <w:r w:rsidR="001D5F98">
        <w:t xml:space="preserve"> </w:t>
      </w:r>
    </w:p>
    <w:p w:rsidR="002E231B" w:rsidRDefault="00E9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Pr="00E95CE8">
        <w:rPr>
          <w:rFonts w:ascii="Times New Roman" w:hAnsi="Times New Roman" w:cs="Times New Roman"/>
          <w:sz w:val="24"/>
          <w:szCs w:val="24"/>
        </w:rPr>
        <w:t xml:space="preserve"> current study</w:t>
      </w:r>
      <w:r>
        <w:rPr>
          <w:rFonts w:ascii="Times New Roman" w:hAnsi="Times New Roman" w:cs="Times New Roman"/>
          <w:sz w:val="24"/>
          <w:szCs w:val="24"/>
        </w:rPr>
        <w:t>, we</w:t>
      </w:r>
      <w:r w:rsidRPr="00E95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assessed the effects of brushing frequency and brush type on brushers’ plaque levels. </w:t>
      </w:r>
    </w:p>
    <w:p w:rsidR="002E231B" w:rsidRDefault="00E9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analyzed plaque level in a fully between subjects general linear model with factors for brushing frequency (once a day vs twice a day) and brush type (Oral B, Sonicare, Manual). We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analyzed </w:t>
      </w:r>
      <w:r w:rsidR="00E10A8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brush type </w:t>
      </w:r>
      <w:r w:rsidR="00E10A84">
        <w:rPr>
          <w:rFonts w:ascii="Times New Roman" w:hAnsi="Times New Roman" w:cs="Times New Roman"/>
          <w:sz w:val="24"/>
          <w:szCs w:val="24"/>
        </w:rPr>
        <w:t xml:space="preserve">factor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2E231B">
        <w:rPr>
          <w:rFonts w:ascii="Times New Roman" w:hAnsi="Times New Roman" w:cs="Times New Roman"/>
          <w:sz w:val="24"/>
          <w:szCs w:val="24"/>
        </w:rPr>
        <w:t xml:space="preserve">a set of </w:t>
      </w:r>
      <w:r>
        <w:rPr>
          <w:rFonts w:ascii="Times New Roman" w:hAnsi="Times New Roman" w:cs="Times New Roman"/>
          <w:sz w:val="24"/>
          <w:szCs w:val="24"/>
        </w:rPr>
        <w:t xml:space="preserve">planned orthogonal contrasts to compare electric toothbrushes (Oral B and Sonicare) to manual and </w:t>
      </w:r>
      <w:r w:rsidR="002E231B">
        <w:rPr>
          <w:rFonts w:ascii="Times New Roman" w:hAnsi="Times New Roman" w:cs="Times New Roman"/>
          <w:sz w:val="24"/>
          <w:szCs w:val="24"/>
        </w:rPr>
        <w:t xml:space="preserve">Oral B compared to Sonicare. Consistent with our hypothesis, </w:t>
      </w:r>
      <w:r w:rsidR="002E231B" w:rsidRPr="002E231B">
        <w:rPr>
          <w:rFonts w:ascii="Times New Roman" w:hAnsi="Times New Roman" w:cs="Times New Roman"/>
          <w:sz w:val="24"/>
          <w:szCs w:val="24"/>
        </w:rPr>
        <w:t>people who brush once a day on average have 15.83 more plaque particles than people who brush once a day,</w:t>
      </w:r>
      <w:r w:rsidR="002E231B" w:rsidRPr="002E231B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2E231B" w:rsidRPr="002E231B">
        <w:rPr>
          <w:rFonts w:ascii="Times New Roman" w:hAnsi="Times New Roman" w:cs="Times New Roman"/>
          <w:sz w:val="24"/>
          <w:szCs w:val="24"/>
        </w:rPr>
        <w:t xml:space="preserve">(42) = 2.56, </w:t>
      </w:r>
      <w:r w:rsidR="002E231B" w:rsidRPr="002E231B">
        <w:rPr>
          <w:rFonts w:ascii="Times New Roman" w:hAnsi="Times New Roman" w:cs="Times New Roman"/>
          <w:i/>
          <w:sz w:val="24"/>
          <w:szCs w:val="24"/>
        </w:rPr>
        <w:t>p</w:t>
      </w:r>
      <w:r w:rsidR="002E231B" w:rsidRPr="002E231B">
        <w:rPr>
          <w:rFonts w:ascii="Times New Roman" w:hAnsi="Times New Roman" w:cs="Times New Roman"/>
          <w:sz w:val="24"/>
          <w:szCs w:val="24"/>
        </w:rPr>
        <w:t xml:space="preserve"> = .0141, CI = [3.35, 28.31], </w:t>
      </w:r>
      <m:oMath>
        <m:sSubSup>
          <m:sSubSupPr>
            <m:ctrlPr>
              <w:rPr>
                <w:rFonts w:ascii="Cambria Math" w:hAnsi="Cambria Math" w:cstheme="minorEastAsia" w:hint="eastAsia"/>
                <w:i/>
              </w:rPr>
            </m:ctrlPr>
          </m:sSubSupPr>
          <m:e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η</m:t>
            </m:r>
          </m:e>
          <m:sub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p</m:t>
            </m:r>
          </m:sub>
          <m:sup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2</m:t>
            </m:r>
          </m:sup>
        </m:sSubSup>
      </m:oMath>
      <w:r w:rsidR="002E231B" w:rsidRPr="002E231B">
        <w:rPr>
          <w:rFonts w:ascii="Times New Roman" w:hAnsi="Times New Roman" w:cs="Times New Roman"/>
          <w:sz w:val="24"/>
          <w:szCs w:val="24"/>
        </w:rPr>
        <w:t>= .14</w:t>
      </w:r>
      <w:r w:rsidR="002E231B">
        <w:rPr>
          <w:rFonts w:ascii="Times New Roman" w:hAnsi="Times New Roman" w:cs="Times New Roman"/>
          <w:sz w:val="24"/>
          <w:szCs w:val="24"/>
        </w:rPr>
        <w:t xml:space="preserve"> (see figure 1). Also consistent with our hypothesis, t</w:t>
      </w:r>
      <w:r w:rsidR="002E231B" w:rsidRPr="002E231B">
        <w:rPr>
          <w:rFonts w:ascii="Times New Roman" w:hAnsi="Times New Roman" w:cs="Times New Roman"/>
          <w:sz w:val="24"/>
          <w:szCs w:val="24"/>
        </w:rPr>
        <w:t xml:space="preserve">he effect of brushing twice versus once a day </w:t>
      </w:r>
      <w:r w:rsidR="002E231B">
        <w:rPr>
          <w:rFonts w:ascii="Times New Roman" w:hAnsi="Times New Roman" w:cs="Times New Roman"/>
          <w:sz w:val="24"/>
          <w:szCs w:val="24"/>
        </w:rPr>
        <w:t>was</w:t>
      </w:r>
      <w:r w:rsidR="002E231B" w:rsidRPr="002E231B">
        <w:rPr>
          <w:rFonts w:ascii="Times New Roman" w:hAnsi="Times New Roman" w:cs="Times New Roman"/>
          <w:sz w:val="24"/>
          <w:szCs w:val="24"/>
        </w:rPr>
        <w:t xml:space="preserve"> 26.75 units larger for people who use electric toothbrushes</w:t>
      </w:r>
      <w:r w:rsidR="002E231B">
        <w:rPr>
          <w:rFonts w:ascii="Times New Roman" w:hAnsi="Times New Roman" w:cs="Times New Roman"/>
          <w:sz w:val="24"/>
          <w:szCs w:val="24"/>
        </w:rPr>
        <w:t xml:space="preserve"> </w:t>
      </w:r>
      <w:r w:rsidR="002E231B" w:rsidRPr="002E231B">
        <w:rPr>
          <w:rFonts w:ascii="Times New Roman" w:hAnsi="Times New Roman" w:cs="Times New Roman"/>
          <w:sz w:val="24"/>
          <w:szCs w:val="24"/>
        </w:rPr>
        <w:t xml:space="preserve">compared to people who use manual brushes, </w:t>
      </w:r>
      <w:r w:rsidR="002E231B" w:rsidRPr="002E231B">
        <w:rPr>
          <w:rFonts w:ascii="Times New Roman" w:hAnsi="Times New Roman" w:cs="Times New Roman"/>
          <w:i/>
          <w:sz w:val="24"/>
          <w:szCs w:val="24"/>
        </w:rPr>
        <w:t>t</w:t>
      </w:r>
      <w:r w:rsidR="002E231B" w:rsidRPr="002E231B">
        <w:rPr>
          <w:rFonts w:ascii="Times New Roman" w:hAnsi="Times New Roman" w:cs="Times New Roman"/>
          <w:sz w:val="24"/>
          <w:szCs w:val="24"/>
        </w:rPr>
        <w:t xml:space="preserve">(42) = 2.94, </w:t>
      </w:r>
      <w:r w:rsidR="002E231B" w:rsidRPr="002E231B">
        <w:rPr>
          <w:rFonts w:ascii="Times New Roman" w:hAnsi="Times New Roman" w:cs="Times New Roman"/>
          <w:i/>
          <w:sz w:val="24"/>
          <w:szCs w:val="24"/>
        </w:rPr>
        <w:t>p</w:t>
      </w:r>
      <w:r w:rsidR="002E231B" w:rsidRPr="002E231B">
        <w:rPr>
          <w:rFonts w:ascii="Times New Roman" w:hAnsi="Times New Roman" w:cs="Times New Roman"/>
          <w:sz w:val="24"/>
          <w:szCs w:val="24"/>
        </w:rPr>
        <w:t xml:space="preserve"> = .048, CI = [0.28, 53.22], </w:t>
      </w:r>
      <m:oMath>
        <m:sSubSup>
          <m:sSubSupPr>
            <m:ctrlPr>
              <w:rPr>
                <w:rFonts w:ascii="Cambria Math" w:hAnsi="Cambria Math" w:cstheme="minorEastAsia" w:hint="eastAsia"/>
                <w:i/>
              </w:rPr>
            </m:ctrlPr>
          </m:sSubSupPr>
          <m:e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η</m:t>
            </m:r>
          </m:e>
          <m:sub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p</m:t>
            </m:r>
          </m:sub>
          <m:sup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2</m:t>
            </m:r>
          </m:sup>
        </m:sSubSup>
      </m:oMath>
      <w:r w:rsidR="002E231B" w:rsidRPr="002E231B">
        <w:rPr>
          <w:rFonts w:ascii="Times New Roman" w:hAnsi="Times New Roman" w:cs="Times New Roman"/>
          <w:sz w:val="24"/>
          <w:szCs w:val="24"/>
        </w:rPr>
        <w:t>= .09</w:t>
      </w:r>
      <w:r w:rsidR="002E231B">
        <w:rPr>
          <w:rFonts w:ascii="Times New Roman" w:hAnsi="Times New Roman" w:cs="Times New Roman"/>
          <w:sz w:val="24"/>
          <w:szCs w:val="24"/>
        </w:rPr>
        <w:t>. As predicted, t</w:t>
      </w:r>
      <w:r w:rsidR="002E231B" w:rsidRPr="002E231B">
        <w:rPr>
          <w:rFonts w:ascii="Times New Roman" w:hAnsi="Times New Roman" w:cs="Times New Roman"/>
          <w:sz w:val="24"/>
          <w:szCs w:val="24"/>
        </w:rPr>
        <w:t xml:space="preserve">he effect of brushing twice versus once a day was similar for people who used Oral B compared to people who use Sonicare electric toothbrushes, </w:t>
      </w:r>
      <w:r w:rsidR="002E231B" w:rsidRPr="002E231B">
        <w:rPr>
          <w:rFonts w:ascii="Times New Roman" w:hAnsi="Times New Roman" w:cs="Times New Roman"/>
          <w:i/>
          <w:sz w:val="24"/>
          <w:szCs w:val="24"/>
        </w:rPr>
        <w:t>t</w:t>
      </w:r>
      <w:r w:rsidR="002E231B" w:rsidRPr="002E231B">
        <w:rPr>
          <w:rFonts w:ascii="Times New Roman" w:hAnsi="Times New Roman" w:cs="Times New Roman"/>
          <w:sz w:val="24"/>
          <w:szCs w:val="24"/>
        </w:rPr>
        <w:t xml:space="preserve">(42) = 0.73, </w:t>
      </w:r>
      <w:r w:rsidR="002E231B" w:rsidRPr="002E231B">
        <w:rPr>
          <w:rFonts w:ascii="Times New Roman" w:hAnsi="Times New Roman" w:cs="Times New Roman"/>
          <w:i/>
          <w:sz w:val="24"/>
          <w:szCs w:val="24"/>
        </w:rPr>
        <w:t>p</w:t>
      </w:r>
      <w:r w:rsidR="002E231B" w:rsidRPr="002E231B">
        <w:rPr>
          <w:rFonts w:ascii="Times New Roman" w:hAnsi="Times New Roman" w:cs="Times New Roman"/>
          <w:sz w:val="24"/>
          <w:szCs w:val="24"/>
        </w:rPr>
        <w:t xml:space="preserve"> = .472, CI = [-41.57, 19.57], </w:t>
      </w:r>
      <m:oMath>
        <m:sSubSup>
          <m:sSubSupPr>
            <m:ctrlPr>
              <w:rPr>
                <w:rFonts w:ascii="Cambria Math" w:hAnsi="Cambria Math" w:cstheme="minorEastAsia" w:hint="eastAsia"/>
                <w:i/>
              </w:rPr>
            </m:ctrlPr>
          </m:sSubSupPr>
          <m:e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η</m:t>
            </m:r>
          </m:e>
          <m:sub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p</m:t>
            </m:r>
          </m:sub>
          <m:sup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2</m:t>
            </m:r>
          </m:sup>
        </m:sSubSup>
      </m:oMath>
      <w:r w:rsidR="002E231B" w:rsidRPr="002E231B">
        <w:rPr>
          <w:rFonts w:ascii="Times New Roman" w:hAnsi="Times New Roman" w:cs="Times New Roman"/>
          <w:sz w:val="24"/>
          <w:szCs w:val="24"/>
        </w:rPr>
        <w:t>= .01</w:t>
      </w:r>
      <w:r w:rsidR="002E2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results suggest that people who use electric toothbrushes have significantly less plaque. Furthermore, the benefit of brushing twice versus once a day appears to only hold for those that use electric toothbrushes (vs manual). </w:t>
      </w: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2E231B" w:rsidRPr="002E231B" w:rsidRDefault="002E231B">
      <w:pPr>
        <w:rPr>
          <w:rFonts w:ascii="Times New Roman" w:hAnsi="Times New Roman" w:cs="Times New Roman"/>
          <w:sz w:val="24"/>
          <w:szCs w:val="24"/>
        </w:rPr>
      </w:pPr>
    </w:p>
    <w:p w:rsidR="00B708D5" w:rsidRDefault="00B708D5">
      <w:r>
        <w:lastRenderedPageBreak/>
        <w:t>Study 2:</w:t>
      </w:r>
    </w:p>
    <w:p w:rsidR="00B708D5" w:rsidRDefault="00B708D5">
      <w:r>
        <w:t xml:space="preserve">8. </w:t>
      </w:r>
    </w:p>
    <w:p w:rsidR="00B708D5" w:rsidRDefault="00B708D5"/>
    <w:p w:rsidR="00B708D5" w:rsidRDefault="00B708D5"/>
    <w:p w:rsidR="00B708D5" w:rsidRDefault="00B708D5">
      <w:r w:rsidRPr="00B708D5">
        <w:rPr>
          <w:noProof/>
        </w:rPr>
        <w:drawing>
          <wp:inline distT="0" distB="0" distL="0" distR="0">
            <wp:extent cx="5324475" cy="532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D5" w:rsidRDefault="00B708D5">
      <w:r>
        <w:t xml:space="preserve">Figure 2 </w:t>
      </w:r>
    </w:p>
    <w:p w:rsidR="001D5F98" w:rsidRDefault="001D5F98">
      <w:r>
        <w:t xml:space="preserve">9. </w:t>
      </w:r>
      <w:r w:rsidR="002E231B">
        <w:t xml:space="preserve">In the current study, </w:t>
      </w:r>
      <w:r w:rsidR="006438E7">
        <w:t xml:space="preserve">we tested the effects pictures of instructors with different types of facial hair have on smiling in traditional and non-traditional students. </w:t>
      </w:r>
    </w:p>
    <w:p w:rsidR="006438E7" w:rsidRDefault="006438E7">
      <w:r>
        <w:t>We analyzed facial EMG smiling activity in a separate general linear models each with a between-subjects factor for student group (Traditional vs Non-Traditional) and repeated measures for picture type (John, Mitch, Daniel). We anal</w:t>
      </w:r>
      <w:r w:rsidR="00E10A84">
        <w:t>yzed the picture type factor using pair-wise within subject contrasts to consistent with our research goals.</w:t>
      </w:r>
      <w:r w:rsidR="003F71E0">
        <w:t xml:space="preserve"> We used </w:t>
      </w:r>
      <w:r w:rsidR="003F71E0" w:rsidRPr="00171D66">
        <w:rPr>
          <w:rFonts w:ascii="Times" w:hAnsi="Times" w:cs="Times New Roman"/>
          <w:sz w:val="24"/>
          <w:szCs w:val="24"/>
        </w:rPr>
        <w:t>Holm-Bonferroni</w:t>
      </w:r>
      <w:r w:rsidR="003F71E0">
        <w:rPr>
          <w:rFonts w:ascii="Times" w:hAnsi="Times" w:cs="Times New Roman"/>
          <w:sz w:val="24"/>
          <w:szCs w:val="24"/>
        </w:rPr>
        <w:t xml:space="preserve"> </w:t>
      </w:r>
      <w:r w:rsidR="003F71E0">
        <w:t xml:space="preserve">correction on all p values. </w:t>
      </w:r>
    </w:p>
    <w:p w:rsidR="00E10A84" w:rsidRDefault="00E10A84" w:rsidP="00E10A84">
      <w:r>
        <w:lastRenderedPageBreak/>
        <w:t xml:space="preserve">Consistent with our hypothesis, the difference in smiling between traditional and non-traditional students </w:t>
      </w:r>
      <w:r w:rsidR="003F71E0">
        <w:t>was</w:t>
      </w:r>
      <w:r>
        <w:t xml:space="preserve"> 4.23 microvolts larger when viewing pictures of Daniel than when </w:t>
      </w:r>
      <w:r w:rsidR="003F71E0">
        <w:t>viewing pictures</w:t>
      </w:r>
      <w:r>
        <w:t xml:space="preserve"> of John, </w:t>
      </w:r>
      <w:r w:rsidRPr="003F71E0">
        <w:rPr>
          <w:i/>
        </w:rPr>
        <w:t>t</w:t>
      </w:r>
      <w:r>
        <w:t xml:space="preserve">(117) = 4.23, </w:t>
      </w:r>
      <w:r w:rsidRPr="003F71E0">
        <w:rPr>
          <w:i/>
        </w:rPr>
        <w:t>p</w:t>
      </w:r>
      <w:r>
        <w:t xml:space="preserve"> = .0</w:t>
      </w:r>
      <w:r w:rsidR="003F71E0">
        <w:t>19</w:t>
      </w:r>
      <w:r>
        <w:t xml:space="preserve">, CI = [1.06, 7.40], </w:t>
      </w:r>
      <m:oMath>
        <m:sSubSup>
          <m:sSubSupPr>
            <m:ctrlPr>
              <w:rPr>
                <w:rFonts w:ascii="Cambria Math" w:hAnsi="Cambria Math" w:cstheme="minorEastAsia" w:hint="eastAsia"/>
                <w:i/>
              </w:rPr>
            </m:ctrlPr>
          </m:sSubSupPr>
          <m:e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η</m:t>
            </m:r>
          </m:e>
          <m:sub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p</m:t>
            </m:r>
          </m:sub>
          <m:sup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2</m:t>
            </m:r>
          </m:sup>
        </m:sSubSup>
      </m:oMath>
      <w:r>
        <w:t xml:space="preserve"> = .06</w:t>
      </w:r>
      <w:r w:rsidR="003F71E0">
        <w:t xml:space="preserve"> (see figure 2)</w:t>
      </w:r>
      <w:r>
        <w:t xml:space="preserve">. Furthermore, the difference in smiling between traditional and non-traditional students </w:t>
      </w:r>
      <w:r w:rsidR="003F71E0">
        <w:t>was</w:t>
      </w:r>
      <w:r>
        <w:t xml:space="preserve"> 8.25 microvolts larger when viewing pictures of Mitch than when viewing pictures of John,</w:t>
      </w:r>
      <w:r w:rsidRPr="003F71E0">
        <w:rPr>
          <w:i/>
        </w:rPr>
        <w:t xml:space="preserve"> t</w:t>
      </w:r>
      <w:r>
        <w:t xml:space="preserve">(117) = 3.51, </w:t>
      </w:r>
      <w:r w:rsidRPr="003F71E0">
        <w:rPr>
          <w:i/>
        </w:rPr>
        <w:t>p</w:t>
      </w:r>
      <w:r>
        <w:t xml:space="preserve"> </w:t>
      </w:r>
      <w:r w:rsidR="003F71E0">
        <w:t>= .002</w:t>
      </w:r>
      <w:r>
        <w:t xml:space="preserve">, [3.59, 12.90], </w:t>
      </w:r>
      <m:oMath>
        <m:sSubSup>
          <m:sSubSupPr>
            <m:ctrlPr>
              <w:rPr>
                <w:rFonts w:ascii="Cambria Math" w:hAnsi="Cambria Math" w:cstheme="minorEastAsia" w:hint="eastAsia"/>
                <w:i/>
              </w:rPr>
            </m:ctrlPr>
          </m:sSubSupPr>
          <m:e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η</m:t>
            </m:r>
          </m:e>
          <m:sub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p</m:t>
            </m:r>
          </m:sub>
          <m:sup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2</m:t>
            </m:r>
          </m:sup>
        </m:sSubSup>
      </m:oMath>
      <w:r w:rsidR="00543CCF" w:rsidRPr="002E231B">
        <w:rPr>
          <w:rFonts w:ascii="Times New Roman" w:hAnsi="Times New Roman" w:cs="Times New Roman"/>
          <w:sz w:val="24"/>
          <w:szCs w:val="24"/>
        </w:rPr>
        <w:t xml:space="preserve">= </w:t>
      </w:r>
      <w:r>
        <w:t xml:space="preserve"> .10. Finally, the difference in smiling between traditional and non-traditional students </w:t>
      </w:r>
      <w:r w:rsidR="003F71E0">
        <w:t>was</w:t>
      </w:r>
      <w:r>
        <w:t xml:space="preserve"> 4.02 microvolts lower when viewing pictures of Mitch than when viewing pictures of Daniel, </w:t>
      </w:r>
      <w:r w:rsidRPr="003F71E0">
        <w:rPr>
          <w:i/>
        </w:rPr>
        <w:t>t</w:t>
      </w:r>
      <w:r>
        <w:t xml:space="preserve">(117) = 2.41, </w:t>
      </w:r>
      <w:r w:rsidRPr="003F71E0">
        <w:rPr>
          <w:i/>
        </w:rPr>
        <w:t>p</w:t>
      </w:r>
      <w:r>
        <w:t xml:space="preserve"> = .01</w:t>
      </w:r>
      <w:r w:rsidR="003F71E0">
        <w:t>9</w:t>
      </w:r>
      <w:r>
        <w:t xml:space="preserve">, [-7.32, -0.71], </w:t>
      </w:r>
      <m:oMath>
        <m:sSubSup>
          <m:sSubSupPr>
            <m:ctrlPr>
              <w:rPr>
                <w:rFonts w:ascii="Cambria Math" w:hAnsi="Cambria Math" w:cstheme="minorEastAsia" w:hint="eastAsia"/>
                <w:i/>
              </w:rPr>
            </m:ctrlPr>
          </m:sSubSupPr>
          <m:e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η</m:t>
            </m:r>
          </m:e>
          <m:sub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p</m:t>
            </m:r>
          </m:sub>
          <m:sup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2</m:t>
            </m:r>
          </m:sup>
        </m:sSubSup>
      </m:oMath>
      <w:bookmarkStart w:id="0" w:name="_GoBack"/>
      <w:bookmarkEnd w:id="0"/>
      <w:r>
        <w:t>= .05</w:t>
      </w:r>
      <w:r w:rsidR="003F71E0">
        <w:t xml:space="preserve">. Our results suggest that while Mitch’s mustache may be the most liked facial hair in many settings, it may also be the most polarizing between traditional and non-traditional students. </w:t>
      </w:r>
    </w:p>
    <w:sectPr w:rsidR="00E1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D5" w:rsidRDefault="00B708D5" w:rsidP="00B708D5">
      <w:pPr>
        <w:spacing w:after="0" w:line="240" w:lineRule="auto"/>
      </w:pPr>
      <w:r>
        <w:separator/>
      </w:r>
    </w:p>
  </w:endnote>
  <w:endnote w:type="continuationSeparator" w:id="0">
    <w:p w:rsidR="00B708D5" w:rsidRDefault="00B708D5" w:rsidP="00B7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D5" w:rsidRDefault="00B708D5" w:rsidP="00B708D5">
      <w:pPr>
        <w:spacing w:after="0" w:line="240" w:lineRule="auto"/>
      </w:pPr>
      <w:r>
        <w:separator/>
      </w:r>
    </w:p>
  </w:footnote>
  <w:footnote w:type="continuationSeparator" w:id="0">
    <w:p w:rsidR="00B708D5" w:rsidRDefault="00B708D5" w:rsidP="00B70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1C"/>
    <w:rsid w:val="001D5F98"/>
    <w:rsid w:val="002E231B"/>
    <w:rsid w:val="0037391C"/>
    <w:rsid w:val="003F71E0"/>
    <w:rsid w:val="00543CCF"/>
    <w:rsid w:val="006438E7"/>
    <w:rsid w:val="00745C47"/>
    <w:rsid w:val="00B06E31"/>
    <w:rsid w:val="00B708D5"/>
    <w:rsid w:val="00BD0E7E"/>
    <w:rsid w:val="00E10A84"/>
    <w:rsid w:val="00E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F4D4"/>
  <w15:chartTrackingRefBased/>
  <w15:docId w15:val="{61579EE0-11F6-4D69-B601-6EB0FB28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D5"/>
  </w:style>
  <w:style w:type="paragraph" w:styleId="Footer">
    <w:name w:val="footer"/>
    <w:basedOn w:val="Normal"/>
    <w:link w:val="FooterChar"/>
    <w:uiPriority w:val="99"/>
    <w:unhideWhenUsed/>
    <w:rsid w:val="00B7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Bradford</cp:lastModifiedBy>
  <cp:revision>4</cp:revision>
  <dcterms:created xsi:type="dcterms:W3CDTF">2017-12-19T03:47:00Z</dcterms:created>
  <dcterms:modified xsi:type="dcterms:W3CDTF">2017-12-25T00:05:00Z</dcterms:modified>
</cp:coreProperties>
</file>