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3D4F" w14:textId="77777777" w:rsidR="003D48A3" w:rsidRPr="00461EF9" w:rsidRDefault="00F9689C">
      <w:pPr>
        <w:rPr>
          <w:rFonts w:ascii="Helvetica" w:hAnsi="Helvetica" w:cs="Helvetica"/>
          <w:b/>
          <w:sz w:val="22"/>
          <w:szCs w:val="22"/>
        </w:rPr>
      </w:pPr>
      <w:r w:rsidRPr="00461EF9">
        <w:rPr>
          <w:rFonts w:ascii="Helvetica" w:hAnsi="Helvetica" w:cs="Helvetica"/>
          <w:b/>
          <w:sz w:val="22"/>
          <w:szCs w:val="22"/>
        </w:rPr>
        <w:t>Homework 9 Results Section</w:t>
      </w:r>
    </w:p>
    <w:p w14:paraId="5F48D75D" w14:textId="77777777" w:rsidR="00F9689C" w:rsidRPr="00461EF9" w:rsidRDefault="00F9689C">
      <w:pPr>
        <w:rPr>
          <w:rFonts w:ascii="Helvetica" w:hAnsi="Helvetica" w:cs="Helvetica"/>
          <w:b/>
          <w:sz w:val="22"/>
          <w:szCs w:val="22"/>
        </w:rPr>
      </w:pPr>
    </w:p>
    <w:p w14:paraId="087AF88F" w14:textId="77777777" w:rsidR="00F9689C" w:rsidRPr="00461EF9" w:rsidRDefault="00F9689C" w:rsidP="00D2581C">
      <w:pPr>
        <w:ind w:firstLine="720"/>
        <w:rPr>
          <w:rFonts w:ascii="Helvetica" w:hAnsi="Helvetica" w:cs="Helvetica"/>
          <w:sz w:val="22"/>
          <w:szCs w:val="22"/>
        </w:rPr>
      </w:pPr>
      <w:r w:rsidRPr="00461EF9">
        <w:rPr>
          <w:rFonts w:ascii="Helvetica" w:hAnsi="Helvetica" w:cs="Helvetica"/>
          <w:sz w:val="22"/>
          <w:szCs w:val="22"/>
        </w:rPr>
        <w:t>We were interested in the factors that affect a student’s well-being over the Thanksgiving holiday. Specifically, we wondered whether the topic of conversation at the dinner table predicted student well-being.</w:t>
      </w:r>
    </w:p>
    <w:p w14:paraId="709E3D65" w14:textId="6F0B0512" w:rsidR="00F9689C" w:rsidRPr="00461EF9" w:rsidRDefault="00F9689C" w:rsidP="00D2581C">
      <w:pPr>
        <w:ind w:firstLine="720"/>
        <w:rPr>
          <w:rFonts w:ascii="Helvetica" w:hAnsi="Helvetica" w:cs="Helvetica"/>
          <w:sz w:val="22"/>
          <w:szCs w:val="22"/>
        </w:rPr>
      </w:pPr>
      <w:r w:rsidRPr="00461EF9">
        <w:rPr>
          <w:rFonts w:ascii="Helvetica" w:hAnsi="Helvetica" w:cs="Helvetica"/>
          <w:sz w:val="22"/>
          <w:szCs w:val="22"/>
        </w:rPr>
        <w:t xml:space="preserve">First, we assessed the effect of time spent talking about the student’s relationship status. We expected more time spent on this topic would predict </w:t>
      </w:r>
      <w:r w:rsidR="00596A1D" w:rsidRPr="00461EF9">
        <w:rPr>
          <w:rFonts w:ascii="Helvetica" w:hAnsi="Helvetica" w:cs="Helvetica"/>
          <w:sz w:val="22"/>
          <w:szCs w:val="22"/>
        </w:rPr>
        <w:t xml:space="preserve">lower subjective well-being, but this effect would differ based on how long the student had been in a relationship themselves. Specifically, we hypothesized the negative effect of time spent on this topic would be stronger the shorter the student’s relationship was. For people with relationships of average length, there was no significant effect of time spent talking about relationships, </w:t>
      </w:r>
      <w:proofErr w:type="gramStart"/>
      <w:r w:rsidR="00596A1D" w:rsidRPr="00461EF9">
        <w:rPr>
          <w:rFonts w:ascii="Helvetica" w:hAnsi="Helvetica" w:cs="Helvetica"/>
          <w:i/>
          <w:sz w:val="22"/>
          <w:szCs w:val="22"/>
        </w:rPr>
        <w:t>t</w:t>
      </w:r>
      <w:r w:rsidR="00596A1D" w:rsidRPr="00461EF9">
        <w:rPr>
          <w:rFonts w:ascii="Helvetica" w:hAnsi="Helvetica" w:cs="Helvetica"/>
          <w:sz w:val="22"/>
          <w:szCs w:val="22"/>
        </w:rPr>
        <w:t>(</w:t>
      </w:r>
      <w:proofErr w:type="gramEnd"/>
      <w:r w:rsidR="00596A1D" w:rsidRPr="00461EF9">
        <w:rPr>
          <w:rFonts w:ascii="Helvetica" w:hAnsi="Helvetica" w:cs="Helvetica"/>
          <w:sz w:val="22"/>
          <w:szCs w:val="22"/>
        </w:rPr>
        <w:t xml:space="preserve">180) = -1.34, </w:t>
      </w:r>
      <w:r w:rsidR="00596A1D" w:rsidRPr="00461EF9">
        <w:rPr>
          <w:rFonts w:ascii="Helvetica" w:hAnsi="Helvetica" w:cs="Helvetica"/>
          <w:i/>
          <w:sz w:val="22"/>
          <w:szCs w:val="22"/>
        </w:rPr>
        <w:t>p</w:t>
      </w:r>
      <w:r w:rsidR="00596A1D" w:rsidRPr="00461EF9">
        <w:rPr>
          <w:rFonts w:ascii="Helvetica" w:hAnsi="Helvetica" w:cs="Helvetica"/>
          <w:sz w:val="22"/>
          <w:szCs w:val="22"/>
        </w:rPr>
        <w:t xml:space="preserve"> = .18</w:t>
      </w:r>
      <w:r w:rsidR="00FD51B4" w:rsidRPr="00461EF9">
        <w:rPr>
          <w:rFonts w:ascii="Helvetica" w:hAnsi="Helvetica" w:cs="Helvetica"/>
          <w:sz w:val="22"/>
          <w:szCs w:val="22"/>
        </w:rPr>
        <w:t xml:space="preserve">, </w:t>
      </w:r>
      <m:oMath>
        <m:sSubSup>
          <m:sSubSupPr>
            <m:ctrlPr>
              <w:rPr>
                <w:rFonts w:ascii="Cambria Math" w:hAnsi="Cambria Math" w:cs="Helvetica"/>
                <w:i/>
                <w:sz w:val="22"/>
                <w:szCs w:val="22"/>
              </w:rPr>
            </m:ctrlPr>
          </m:sSubSupPr>
          <m:e>
            <m:r>
              <m:rPr>
                <m:nor/>
              </m:rPr>
              <w:rPr>
                <w:rFonts w:ascii="Helvetica" w:hAnsi="Helvetica" w:cs="Helvetica"/>
                <w:i/>
                <w:sz w:val="22"/>
                <w:szCs w:val="22"/>
              </w:rPr>
              <m:t>η</m:t>
            </m:r>
          </m:e>
          <m:sub>
            <m:r>
              <m:rPr>
                <m:nor/>
              </m:rPr>
              <w:rPr>
                <w:rFonts w:ascii="Helvetica" w:hAnsi="Helvetica" w:cs="Helvetica"/>
                <w:i/>
                <w:sz w:val="22"/>
                <w:szCs w:val="22"/>
              </w:rPr>
              <m:t>p</m:t>
            </m:r>
          </m:sub>
          <m:sup>
            <m:r>
              <m:rPr>
                <m:nor/>
              </m:rPr>
              <w:rPr>
                <w:rFonts w:ascii="Helvetica" w:hAnsi="Helvetica" w:cs="Helvetica"/>
                <w:i/>
                <w:sz w:val="22"/>
                <w:szCs w:val="22"/>
              </w:rPr>
              <m:t>2</m:t>
            </m:r>
          </m:sup>
        </m:sSubSup>
      </m:oMath>
      <w:r w:rsidR="00FD51B4" w:rsidRPr="00461EF9">
        <w:rPr>
          <w:rFonts w:ascii="Helvetica" w:eastAsiaTheme="minorEastAsia" w:hAnsi="Helvetica" w:cs="Helvetica"/>
          <w:sz w:val="22"/>
          <w:szCs w:val="22"/>
        </w:rPr>
        <w:t xml:space="preserve"> = .</w:t>
      </w:r>
      <w:r w:rsidR="00FD51B4" w:rsidRPr="00461EF9">
        <w:rPr>
          <w:rFonts w:ascii="Helvetica" w:eastAsiaTheme="minorEastAsia" w:hAnsi="Helvetica" w:cs="Helvetica"/>
          <w:sz w:val="22"/>
          <w:szCs w:val="22"/>
        </w:rPr>
        <w:t>01</w:t>
      </w:r>
      <w:r w:rsidR="00596A1D" w:rsidRPr="00461EF9">
        <w:rPr>
          <w:rFonts w:ascii="Helvetica" w:hAnsi="Helvetica" w:cs="Helvetica"/>
          <w:sz w:val="22"/>
          <w:szCs w:val="22"/>
        </w:rPr>
        <w:t xml:space="preserve">. There was, however, a significant interaction supporting our hypothesis, </w:t>
      </w:r>
      <w:r w:rsidR="00596A1D" w:rsidRPr="00461EF9">
        <w:rPr>
          <w:rFonts w:ascii="Helvetica" w:hAnsi="Helvetica" w:cs="Helvetica"/>
          <w:i/>
          <w:sz w:val="22"/>
          <w:szCs w:val="22"/>
        </w:rPr>
        <w:t>b</w:t>
      </w:r>
      <w:r w:rsidR="00596A1D" w:rsidRPr="00461EF9">
        <w:rPr>
          <w:rFonts w:ascii="Helvetica" w:hAnsi="Helvetica" w:cs="Helvetica"/>
          <w:sz w:val="22"/>
          <w:szCs w:val="22"/>
        </w:rPr>
        <w:t xml:space="preserve"> = 0.0065, [0.004, 0.009], </w:t>
      </w:r>
      <w:proofErr w:type="gramStart"/>
      <w:r w:rsidR="00596A1D" w:rsidRPr="00461EF9">
        <w:rPr>
          <w:rFonts w:ascii="Helvetica" w:hAnsi="Helvetica" w:cs="Helvetica"/>
          <w:i/>
          <w:sz w:val="22"/>
          <w:szCs w:val="22"/>
        </w:rPr>
        <w:t>t</w:t>
      </w:r>
      <w:r w:rsidR="00596A1D" w:rsidRPr="00461EF9">
        <w:rPr>
          <w:rFonts w:ascii="Helvetica" w:hAnsi="Helvetica" w:cs="Helvetica"/>
          <w:sz w:val="22"/>
          <w:szCs w:val="22"/>
        </w:rPr>
        <w:t>(</w:t>
      </w:r>
      <w:proofErr w:type="gramEnd"/>
      <w:r w:rsidR="00596A1D" w:rsidRPr="00461EF9">
        <w:rPr>
          <w:rFonts w:ascii="Helvetica" w:hAnsi="Helvetica" w:cs="Helvetica"/>
          <w:sz w:val="22"/>
          <w:szCs w:val="22"/>
        </w:rPr>
        <w:t xml:space="preserve">180) = 4.87, </w:t>
      </w:r>
      <w:r w:rsidR="00596A1D" w:rsidRPr="00461EF9">
        <w:rPr>
          <w:rFonts w:ascii="Helvetica" w:hAnsi="Helvetica" w:cs="Helvetica"/>
          <w:i/>
          <w:sz w:val="22"/>
          <w:szCs w:val="22"/>
        </w:rPr>
        <w:t>p</w:t>
      </w:r>
      <w:r w:rsidR="00596A1D" w:rsidRPr="00461EF9">
        <w:rPr>
          <w:rFonts w:ascii="Helvetica" w:hAnsi="Helvetica" w:cs="Helvetica"/>
          <w:sz w:val="22"/>
          <w:szCs w:val="22"/>
        </w:rPr>
        <w:t xml:space="preserve"> &lt; .001</w:t>
      </w:r>
      <w:r w:rsidR="005165CA" w:rsidRPr="00461EF9">
        <w:rPr>
          <w:rFonts w:ascii="Helvetica" w:hAnsi="Helvetica" w:cs="Helvetica"/>
          <w:sz w:val="22"/>
          <w:szCs w:val="22"/>
        </w:rPr>
        <w:t xml:space="preserve">, </w:t>
      </w:r>
      <m:oMath>
        <m:sSubSup>
          <m:sSubSupPr>
            <m:ctrlPr>
              <w:rPr>
                <w:rFonts w:ascii="Cambria Math" w:hAnsi="Cambria Math" w:cs="Helvetica"/>
                <w:i/>
                <w:sz w:val="22"/>
                <w:szCs w:val="22"/>
              </w:rPr>
            </m:ctrlPr>
          </m:sSubSupPr>
          <m:e>
            <m:r>
              <m:rPr>
                <m:nor/>
              </m:rPr>
              <w:rPr>
                <w:rFonts w:ascii="Helvetica" w:hAnsi="Helvetica" w:cs="Helvetica"/>
                <w:i/>
                <w:sz w:val="22"/>
                <w:szCs w:val="22"/>
              </w:rPr>
              <m:t>η</m:t>
            </m:r>
          </m:e>
          <m:sub>
            <m:r>
              <m:rPr>
                <m:nor/>
              </m:rPr>
              <w:rPr>
                <w:rFonts w:ascii="Helvetica" w:hAnsi="Helvetica" w:cs="Helvetica"/>
                <w:i/>
                <w:sz w:val="22"/>
                <w:szCs w:val="22"/>
              </w:rPr>
              <m:t>p</m:t>
            </m:r>
          </m:sub>
          <m:sup>
            <m:r>
              <m:rPr>
                <m:nor/>
              </m:rPr>
              <w:rPr>
                <w:rFonts w:ascii="Helvetica" w:hAnsi="Helvetica" w:cs="Helvetica"/>
                <w:i/>
                <w:sz w:val="22"/>
                <w:szCs w:val="22"/>
              </w:rPr>
              <m:t>2</m:t>
            </m:r>
          </m:sup>
        </m:sSubSup>
      </m:oMath>
      <w:r w:rsidR="005165CA" w:rsidRPr="00461EF9">
        <w:rPr>
          <w:rFonts w:ascii="Helvetica" w:eastAsiaTheme="minorEastAsia" w:hAnsi="Helvetica" w:cs="Helvetica"/>
          <w:sz w:val="22"/>
          <w:szCs w:val="22"/>
        </w:rPr>
        <w:t xml:space="preserve"> = .</w:t>
      </w:r>
      <w:r w:rsidR="005165CA" w:rsidRPr="00461EF9">
        <w:rPr>
          <w:rFonts w:ascii="Helvetica" w:eastAsiaTheme="minorEastAsia" w:hAnsi="Helvetica" w:cs="Helvetica"/>
          <w:sz w:val="22"/>
          <w:szCs w:val="22"/>
        </w:rPr>
        <w:t>12</w:t>
      </w:r>
      <w:r w:rsidR="00596A1D" w:rsidRPr="00461EF9">
        <w:rPr>
          <w:rFonts w:ascii="Helvetica" w:hAnsi="Helvetica" w:cs="Helvetica"/>
          <w:sz w:val="22"/>
          <w:szCs w:val="22"/>
        </w:rPr>
        <w:t>. These results are displayed in Figure 1, with lines plotted for students not in a relationship (relationship length = 0) and those in a long relationship (</w:t>
      </w:r>
      <w:r w:rsidR="00596A1D" w:rsidRPr="00461EF9">
        <w:rPr>
          <w:rFonts w:ascii="Helvetica" w:hAnsi="Helvetica" w:cs="Helvetica"/>
          <w:i/>
          <w:sz w:val="22"/>
          <w:szCs w:val="22"/>
        </w:rPr>
        <w:t>M</w:t>
      </w:r>
      <w:r w:rsidR="00596A1D" w:rsidRPr="00461EF9">
        <w:rPr>
          <w:rFonts w:ascii="Helvetica" w:hAnsi="Helvetica" w:cs="Helvetica"/>
          <w:sz w:val="22"/>
          <w:szCs w:val="22"/>
        </w:rPr>
        <w:t xml:space="preserve"> + </w:t>
      </w:r>
      <w:proofErr w:type="spellStart"/>
      <w:r w:rsidR="00596A1D" w:rsidRPr="00461EF9">
        <w:rPr>
          <w:rFonts w:ascii="Helvetica" w:hAnsi="Helvetica" w:cs="Helvetica"/>
          <w:i/>
          <w:sz w:val="22"/>
          <w:szCs w:val="22"/>
        </w:rPr>
        <w:t>sd</w:t>
      </w:r>
      <w:proofErr w:type="spellEnd"/>
      <w:r w:rsidR="00596A1D" w:rsidRPr="00461EF9">
        <w:rPr>
          <w:rFonts w:ascii="Helvetica" w:hAnsi="Helvetica" w:cs="Helvetica"/>
          <w:sz w:val="22"/>
          <w:szCs w:val="22"/>
        </w:rPr>
        <w:t xml:space="preserve"> relationship length).</w:t>
      </w:r>
    </w:p>
    <w:p w14:paraId="01A6356B" w14:textId="08DB76B9" w:rsidR="00596A1D" w:rsidRPr="00461EF9" w:rsidRDefault="00596A1D" w:rsidP="00D2581C">
      <w:pPr>
        <w:ind w:firstLine="720"/>
        <w:rPr>
          <w:rFonts w:ascii="Helvetica" w:hAnsi="Helvetica" w:cs="Helvetica"/>
          <w:sz w:val="22"/>
          <w:szCs w:val="22"/>
        </w:rPr>
      </w:pPr>
      <w:r w:rsidRPr="00461EF9">
        <w:rPr>
          <w:rFonts w:ascii="Helvetica" w:hAnsi="Helvetica" w:cs="Helvetica"/>
          <w:sz w:val="22"/>
          <w:szCs w:val="22"/>
        </w:rPr>
        <w:t xml:space="preserve">We were also interested in the role of time spent talking about politics. Like student relationship, we imagined this topic would have a negative effect on subjective well-being, but this too would be qualified by a significant interaction. We took the absolute value of the number of conservatives at the meal less the number of liberals at the meal, serving as a rough measure of polarity (where smaller scores indicate more division within a family, </w:t>
      </w:r>
      <w:r w:rsidRPr="00461EF9">
        <w:rPr>
          <w:rFonts w:ascii="Helvetica" w:hAnsi="Helvetica" w:cs="Helvetica"/>
          <w:i/>
          <w:sz w:val="22"/>
          <w:szCs w:val="22"/>
        </w:rPr>
        <w:t>M</w:t>
      </w:r>
      <w:r w:rsidRPr="00461EF9">
        <w:rPr>
          <w:rFonts w:ascii="Helvetica" w:hAnsi="Helvetica" w:cs="Helvetica"/>
          <w:sz w:val="22"/>
          <w:szCs w:val="22"/>
        </w:rPr>
        <w:t xml:space="preserve"> = 4.03, </w:t>
      </w:r>
      <w:r w:rsidRPr="00461EF9">
        <w:rPr>
          <w:rFonts w:ascii="Helvetica" w:hAnsi="Helvetica" w:cs="Helvetica"/>
          <w:i/>
          <w:sz w:val="22"/>
          <w:szCs w:val="22"/>
        </w:rPr>
        <w:t>range</w:t>
      </w:r>
      <w:r w:rsidRPr="00461EF9">
        <w:rPr>
          <w:rFonts w:ascii="Helvetica" w:hAnsi="Helvetica" w:cs="Helvetica"/>
          <w:sz w:val="22"/>
          <w:szCs w:val="22"/>
        </w:rPr>
        <w:t xml:space="preserve"> = 0, 12). We expected the effect of time spent talking politics would be more negative for more ideologically divided families (i.e., polarity closer to 0). For students with average familial polarity, there was a negative effect of time spent talking politics, </w:t>
      </w:r>
      <w:r w:rsidRPr="00461EF9">
        <w:rPr>
          <w:rFonts w:ascii="Helvetica" w:hAnsi="Helvetica" w:cs="Helvetica"/>
          <w:i/>
          <w:sz w:val="22"/>
          <w:szCs w:val="22"/>
        </w:rPr>
        <w:t>b</w:t>
      </w:r>
      <w:r w:rsidRPr="00461EF9">
        <w:rPr>
          <w:rFonts w:ascii="Helvetica" w:hAnsi="Helvetica" w:cs="Helvetica"/>
          <w:sz w:val="22"/>
          <w:szCs w:val="22"/>
        </w:rPr>
        <w:t xml:space="preserve"> = -0.025, [-0.031, -0.019], </w:t>
      </w:r>
      <w:proofErr w:type="gramStart"/>
      <w:r w:rsidRPr="00461EF9">
        <w:rPr>
          <w:rFonts w:ascii="Helvetica" w:hAnsi="Helvetica" w:cs="Helvetica"/>
          <w:i/>
          <w:sz w:val="22"/>
          <w:szCs w:val="22"/>
        </w:rPr>
        <w:t>t</w:t>
      </w:r>
      <w:r w:rsidRPr="00461EF9">
        <w:rPr>
          <w:rFonts w:ascii="Helvetica" w:hAnsi="Helvetica" w:cs="Helvetica"/>
          <w:sz w:val="22"/>
          <w:szCs w:val="22"/>
        </w:rPr>
        <w:t>(</w:t>
      </w:r>
      <w:proofErr w:type="gramEnd"/>
      <w:r w:rsidRPr="00461EF9">
        <w:rPr>
          <w:rFonts w:ascii="Helvetica" w:hAnsi="Helvetica" w:cs="Helvetica"/>
          <w:sz w:val="22"/>
          <w:szCs w:val="22"/>
        </w:rPr>
        <w:t xml:space="preserve">180) = -7.93, </w:t>
      </w:r>
      <w:r w:rsidRPr="00461EF9">
        <w:rPr>
          <w:rFonts w:ascii="Helvetica" w:hAnsi="Helvetica" w:cs="Helvetica"/>
          <w:i/>
          <w:sz w:val="22"/>
          <w:szCs w:val="22"/>
        </w:rPr>
        <w:t>p</w:t>
      </w:r>
      <w:r w:rsidRPr="00461EF9">
        <w:rPr>
          <w:rFonts w:ascii="Helvetica" w:hAnsi="Helvetica" w:cs="Helvetica"/>
          <w:sz w:val="22"/>
          <w:szCs w:val="22"/>
        </w:rPr>
        <w:t xml:space="preserve"> &lt; .001</w:t>
      </w:r>
      <w:r w:rsidR="00B03A0A" w:rsidRPr="00461EF9">
        <w:rPr>
          <w:rFonts w:ascii="Helvetica" w:hAnsi="Helvetica" w:cs="Helvetica"/>
          <w:sz w:val="22"/>
          <w:szCs w:val="22"/>
        </w:rPr>
        <w:t xml:space="preserve">, </w:t>
      </w:r>
      <m:oMath>
        <m:sSubSup>
          <m:sSubSupPr>
            <m:ctrlPr>
              <w:rPr>
                <w:rFonts w:ascii="Cambria Math" w:hAnsi="Cambria Math" w:cs="Helvetica"/>
                <w:i/>
                <w:sz w:val="22"/>
                <w:szCs w:val="22"/>
              </w:rPr>
            </m:ctrlPr>
          </m:sSubSupPr>
          <m:e>
            <m:r>
              <m:rPr>
                <m:nor/>
              </m:rPr>
              <w:rPr>
                <w:rFonts w:ascii="Helvetica" w:hAnsi="Helvetica" w:cs="Helvetica"/>
                <w:i/>
                <w:sz w:val="22"/>
                <w:szCs w:val="22"/>
              </w:rPr>
              <m:t>η</m:t>
            </m:r>
          </m:e>
          <m:sub>
            <m:r>
              <m:rPr>
                <m:nor/>
              </m:rPr>
              <w:rPr>
                <w:rFonts w:ascii="Helvetica" w:hAnsi="Helvetica" w:cs="Helvetica"/>
                <w:i/>
                <w:sz w:val="22"/>
                <w:szCs w:val="22"/>
              </w:rPr>
              <m:t>p</m:t>
            </m:r>
          </m:sub>
          <m:sup>
            <m:r>
              <m:rPr>
                <m:nor/>
              </m:rPr>
              <w:rPr>
                <w:rFonts w:ascii="Helvetica" w:hAnsi="Helvetica" w:cs="Helvetica"/>
                <w:i/>
                <w:sz w:val="22"/>
                <w:szCs w:val="22"/>
              </w:rPr>
              <m:t>2</m:t>
            </m:r>
          </m:sup>
        </m:sSubSup>
      </m:oMath>
      <w:r w:rsidR="00461EF9" w:rsidRPr="00461EF9">
        <w:rPr>
          <w:rFonts w:ascii="Helvetica" w:eastAsiaTheme="minorEastAsia" w:hAnsi="Helvetica" w:cs="Helvetica"/>
          <w:sz w:val="22"/>
          <w:szCs w:val="22"/>
        </w:rPr>
        <w:t xml:space="preserve"> = .</w:t>
      </w:r>
      <w:r w:rsidR="00461EF9" w:rsidRPr="00461EF9">
        <w:rPr>
          <w:rFonts w:ascii="Helvetica" w:eastAsiaTheme="minorEastAsia" w:hAnsi="Helvetica" w:cs="Helvetica"/>
          <w:sz w:val="22"/>
          <w:szCs w:val="22"/>
        </w:rPr>
        <w:t>26</w:t>
      </w:r>
      <w:r w:rsidRPr="00461EF9">
        <w:rPr>
          <w:rFonts w:ascii="Helvetica" w:hAnsi="Helvetica" w:cs="Helvetica"/>
          <w:sz w:val="22"/>
          <w:szCs w:val="22"/>
        </w:rPr>
        <w:t xml:space="preserve">. This effect was qualified by a significant interaction confirming our hypothesis, </w:t>
      </w:r>
      <w:r w:rsidRPr="00461EF9">
        <w:rPr>
          <w:rFonts w:ascii="Helvetica" w:hAnsi="Helvetica" w:cs="Helvetica"/>
          <w:i/>
          <w:sz w:val="22"/>
          <w:szCs w:val="22"/>
        </w:rPr>
        <w:t>b</w:t>
      </w:r>
      <w:r w:rsidRPr="00461EF9">
        <w:rPr>
          <w:rFonts w:ascii="Helvetica" w:hAnsi="Helvetica" w:cs="Helvetica"/>
          <w:sz w:val="22"/>
          <w:szCs w:val="22"/>
        </w:rPr>
        <w:t xml:space="preserve"> = </w:t>
      </w:r>
      <w:r w:rsidR="00A70BC3" w:rsidRPr="00461EF9">
        <w:rPr>
          <w:rFonts w:ascii="Helvetica" w:hAnsi="Helvetica" w:cs="Helvetica"/>
          <w:sz w:val="22"/>
          <w:szCs w:val="22"/>
        </w:rPr>
        <w:t xml:space="preserve">0.0027, [0.0004, 0.005], </w:t>
      </w:r>
      <w:proofErr w:type="gramStart"/>
      <w:r w:rsidR="00A70BC3" w:rsidRPr="00461EF9">
        <w:rPr>
          <w:rFonts w:ascii="Helvetica" w:hAnsi="Helvetica" w:cs="Helvetica"/>
          <w:i/>
          <w:sz w:val="22"/>
          <w:szCs w:val="22"/>
        </w:rPr>
        <w:t>t</w:t>
      </w:r>
      <w:r w:rsidR="00A70BC3" w:rsidRPr="00461EF9">
        <w:rPr>
          <w:rFonts w:ascii="Helvetica" w:hAnsi="Helvetica" w:cs="Helvetica"/>
          <w:sz w:val="22"/>
          <w:szCs w:val="22"/>
        </w:rPr>
        <w:t>(</w:t>
      </w:r>
      <w:proofErr w:type="gramEnd"/>
      <w:r w:rsidR="00A70BC3" w:rsidRPr="00461EF9">
        <w:rPr>
          <w:rFonts w:ascii="Helvetica" w:hAnsi="Helvetica" w:cs="Helvetica"/>
          <w:sz w:val="22"/>
          <w:szCs w:val="22"/>
        </w:rPr>
        <w:t xml:space="preserve">180) = 2.30, </w:t>
      </w:r>
      <w:r w:rsidR="00A70BC3" w:rsidRPr="00461EF9">
        <w:rPr>
          <w:rFonts w:ascii="Helvetica" w:hAnsi="Helvetica" w:cs="Helvetica"/>
          <w:i/>
          <w:sz w:val="22"/>
          <w:szCs w:val="22"/>
        </w:rPr>
        <w:t>p</w:t>
      </w:r>
      <w:r w:rsidR="00A70BC3" w:rsidRPr="00461EF9">
        <w:rPr>
          <w:rFonts w:ascii="Helvetica" w:hAnsi="Helvetica" w:cs="Helvetica"/>
          <w:sz w:val="22"/>
          <w:szCs w:val="22"/>
        </w:rPr>
        <w:t xml:space="preserve"> &lt; .05</w:t>
      </w:r>
      <w:r w:rsidR="00461EF9" w:rsidRPr="00461EF9">
        <w:rPr>
          <w:rFonts w:ascii="Helvetica" w:hAnsi="Helvetica" w:cs="Helvetica"/>
          <w:sz w:val="22"/>
          <w:szCs w:val="22"/>
        </w:rPr>
        <w:t xml:space="preserve">, </w:t>
      </w:r>
      <m:oMath>
        <m:sSubSup>
          <m:sSubSupPr>
            <m:ctrlPr>
              <w:rPr>
                <w:rFonts w:ascii="Cambria Math" w:hAnsi="Cambria Math" w:cs="Helvetica"/>
                <w:i/>
                <w:sz w:val="22"/>
                <w:szCs w:val="22"/>
              </w:rPr>
            </m:ctrlPr>
          </m:sSubSupPr>
          <m:e>
            <m:r>
              <m:rPr>
                <m:nor/>
              </m:rPr>
              <w:rPr>
                <w:rFonts w:ascii="Helvetica" w:hAnsi="Helvetica" w:cs="Helvetica"/>
                <w:i/>
                <w:sz w:val="22"/>
                <w:szCs w:val="22"/>
              </w:rPr>
              <m:t>η</m:t>
            </m:r>
          </m:e>
          <m:sub>
            <m:r>
              <m:rPr>
                <m:nor/>
              </m:rPr>
              <w:rPr>
                <w:rFonts w:ascii="Helvetica" w:hAnsi="Helvetica" w:cs="Helvetica"/>
                <w:i/>
                <w:sz w:val="22"/>
                <w:szCs w:val="22"/>
              </w:rPr>
              <m:t>p</m:t>
            </m:r>
          </m:sub>
          <m:sup>
            <m:r>
              <m:rPr>
                <m:nor/>
              </m:rPr>
              <w:rPr>
                <w:rFonts w:ascii="Helvetica" w:hAnsi="Helvetica" w:cs="Helvetica"/>
                <w:i/>
                <w:sz w:val="22"/>
                <w:szCs w:val="22"/>
              </w:rPr>
              <m:t>2</m:t>
            </m:r>
          </m:sup>
        </m:sSubSup>
      </m:oMath>
      <w:r w:rsidR="00461EF9" w:rsidRPr="00461EF9">
        <w:rPr>
          <w:rFonts w:ascii="Helvetica" w:eastAsiaTheme="minorEastAsia" w:hAnsi="Helvetica" w:cs="Helvetica"/>
          <w:sz w:val="22"/>
          <w:szCs w:val="22"/>
        </w:rPr>
        <w:t xml:space="preserve"> = .</w:t>
      </w:r>
      <w:r w:rsidR="00461EF9" w:rsidRPr="00461EF9">
        <w:rPr>
          <w:rFonts w:ascii="Helvetica" w:eastAsiaTheme="minorEastAsia" w:hAnsi="Helvetica" w:cs="Helvetica"/>
          <w:sz w:val="22"/>
          <w:szCs w:val="22"/>
        </w:rPr>
        <w:t>03</w:t>
      </w:r>
      <w:r w:rsidR="00A70BC3" w:rsidRPr="00461EF9">
        <w:rPr>
          <w:rFonts w:ascii="Helvetica" w:hAnsi="Helvetica" w:cs="Helvetica"/>
          <w:sz w:val="22"/>
          <w:szCs w:val="22"/>
        </w:rPr>
        <w:t xml:space="preserve">. Figure 2 displays the results of these analyses, with lines plotted for relatively divided and relatively similar families (i.e., ±1 </w:t>
      </w:r>
      <w:proofErr w:type="spellStart"/>
      <w:r w:rsidR="00A70BC3" w:rsidRPr="00461EF9">
        <w:rPr>
          <w:rFonts w:ascii="Helvetica" w:hAnsi="Helvetica" w:cs="Helvetica"/>
          <w:i/>
          <w:sz w:val="22"/>
          <w:szCs w:val="22"/>
        </w:rPr>
        <w:t>sd</w:t>
      </w:r>
      <w:proofErr w:type="spellEnd"/>
      <w:r w:rsidR="00A70BC3" w:rsidRPr="00461EF9">
        <w:rPr>
          <w:rFonts w:ascii="Helvetica" w:hAnsi="Helvetica" w:cs="Helvetica"/>
          <w:sz w:val="22"/>
          <w:szCs w:val="22"/>
        </w:rPr>
        <w:t xml:space="preserve"> around mean polarity).</w:t>
      </w:r>
    </w:p>
    <w:p w14:paraId="605C08BC" w14:textId="77777777" w:rsidR="00D2581C" w:rsidRPr="00461EF9" w:rsidRDefault="00D2581C" w:rsidP="00D2581C">
      <w:pPr>
        <w:ind w:firstLine="720"/>
        <w:rPr>
          <w:rFonts w:ascii="Helvetica" w:hAnsi="Helvetica" w:cs="Helvetica"/>
          <w:sz w:val="22"/>
          <w:szCs w:val="22"/>
        </w:rPr>
      </w:pPr>
      <w:r w:rsidRPr="00461EF9">
        <w:rPr>
          <w:rFonts w:ascii="Helvetica" w:hAnsi="Helvetica" w:cs="Helvetica"/>
          <w:sz w:val="22"/>
          <w:szCs w:val="22"/>
        </w:rPr>
        <w:t>Based on these results, we suggest students try to steer their families away from these conversation topics when they’re home for the holidays, particularly if they are single or their family is politically divided. They might instead try to find a more neutral or even affiliative topic, such as football or how much everyone likes Tom Hanks.</w:t>
      </w:r>
    </w:p>
    <w:p w14:paraId="45C7FD59" w14:textId="77777777" w:rsidR="00A70BC3" w:rsidRPr="00461EF9" w:rsidRDefault="00A70BC3">
      <w:pPr>
        <w:rPr>
          <w:rFonts w:ascii="Helvetica" w:hAnsi="Helvetica"/>
          <w:sz w:val="22"/>
          <w:szCs w:val="22"/>
        </w:rPr>
      </w:pPr>
      <w:bookmarkStart w:id="0" w:name="_GoBack"/>
      <w:bookmarkEnd w:id="0"/>
    </w:p>
    <w:p w14:paraId="244F1799" w14:textId="77777777" w:rsidR="00D2581C" w:rsidRDefault="00D2581C" w:rsidP="00D2581C">
      <w:pPr>
        <w:jc w:val="center"/>
        <w:rPr>
          <w:rFonts w:ascii="Helvetica" w:hAnsi="Helvetica"/>
          <w:sz w:val="22"/>
          <w:szCs w:val="22"/>
        </w:rPr>
      </w:pPr>
      <w:r>
        <w:rPr>
          <w:rFonts w:ascii="Helvetica" w:hAnsi="Helvetica" w:cs="Helvetica"/>
          <w:noProof/>
        </w:rPr>
        <w:lastRenderedPageBreak/>
        <w:drawing>
          <wp:inline distT="0" distB="0" distL="0" distR="0" wp14:anchorId="689715B4" wp14:editId="07287A4D">
            <wp:extent cx="4280535" cy="3851970"/>
            <wp:effectExtent l="0" t="0" r="1206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3401" cy="3863548"/>
                    </a:xfrm>
                    <a:prstGeom prst="rect">
                      <a:avLst/>
                    </a:prstGeom>
                    <a:noFill/>
                    <a:ln>
                      <a:noFill/>
                    </a:ln>
                  </pic:spPr>
                </pic:pic>
              </a:graphicData>
            </a:graphic>
          </wp:inline>
        </w:drawing>
      </w:r>
    </w:p>
    <w:p w14:paraId="09492160" w14:textId="77777777" w:rsidR="00D2581C" w:rsidRDefault="00D2581C">
      <w:pPr>
        <w:rPr>
          <w:rFonts w:ascii="Helvetica" w:hAnsi="Helvetica"/>
          <w:sz w:val="22"/>
          <w:szCs w:val="22"/>
        </w:rPr>
      </w:pPr>
      <w:r>
        <w:rPr>
          <w:rFonts w:ascii="Helvetica" w:hAnsi="Helvetica"/>
          <w:sz w:val="22"/>
          <w:szCs w:val="22"/>
        </w:rPr>
        <w:t>Figure 1</w:t>
      </w:r>
    </w:p>
    <w:p w14:paraId="55921CB7" w14:textId="77777777" w:rsidR="00D2581C" w:rsidRDefault="00D2581C">
      <w:pPr>
        <w:rPr>
          <w:rFonts w:ascii="Helvetica" w:hAnsi="Helvetica"/>
          <w:sz w:val="22"/>
          <w:szCs w:val="22"/>
        </w:rPr>
      </w:pPr>
    </w:p>
    <w:p w14:paraId="61648533" w14:textId="77777777" w:rsidR="00D2581C" w:rsidRDefault="00D2581C" w:rsidP="00D2581C">
      <w:pPr>
        <w:jc w:val="center"/>
        <w:rPr>
          <w:rFonts w:ascii="Helvetica" w:hAnsi="Helvetica"/>
          <w:sz w:val="22"/>
          <w:szCs w:val="22"/>
        </w:rPr>
      </w:pPr>
      <w:r>
        <w:rPr>
          <w:rFonts w:ascii="Helvetica" w:hAnsi="Helvetica" w:cs="Helvetica"/>
          <w:noProof/>
        </w:rPr>
        <w:drawing>
          <wp:inline distT="0" distB="0" distL="0" distR="0" wp14:anchorId="36E8A2A2" wp14:editId="15B3DF58">
            <wp:extent cx="4280535" cy="3851970"/>
            <wp:effectExtent l="0" t="0" r="1206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661" cy="3855683"/>
                    </a:xfrm>
                    <a:prstGeom prst="rect">
                      <a:avLst/>
                    </a:prstGeom>
                    <a:noFill/>
                    <a:ln>
                      <a:noFill/>
                    </a:ln>
                  </pic:spPr>
                </pic:pic>
              </a:graphicData>
            </a:graphic>
          </wp:inline>
        </w:drawing>
      </w:r>
    </w:p>
    <w:p w14:paraId="6856E4DE" w14:textId="77777777" w:rsidR="00D2581C" w:rsidRPr="00A70BC3" w:rsidRDefault="00D2581C" w:rsidP="00D2581C">
      <w:pPr>
        <w:rPr>
          <w:rFonts w:ascii="Helvetica" w:hAnsi="Helvetica"/>
          <w:sz w:val="22"/>
          <w:szCs w:val="22"/>
        </w:rPr>
      </w:pPr>
      <w:r>
        <w:rPr>
          <w:rFonts w:ascii="Helvetica" w:hAnsi="Helvetica"/>
          <w:sz w:val="22"/>
          <w:szCs w:val="22"/>
        </w:rPr>
        <w:t>Figure 2</w:t>
      </w:r>
    </w:p>
    <w:sectPr w:rsidR="00D2581C" w:rsidRPr="00A70BC3"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7D"/>
    <w:rsid w:val="00162F7D"/>
    <w:rsid w:val="003D48A3"/>
    <w:rsid w:val="00461EF9"/>
    <w:rsid w:val="005165CA"/>
    <w:rsid w:val="00596A1D"/>
    <w:rsid w:val="00A70BC3"/>
    <w:rsid w:val="00B03A0A"/>
    <w:rsid w:val="00CF3D14"/>
    <w:rsid w:val="00D2581C"/>
    <w:rsid w:val="00F9689C"/>
    <w:rsid w:val="00F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B8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Daniel Bradford</cp:lastModifiedBy>
  <cp:revision>2</cp:revision>
  <cp:lastPrinted>2017-11-07T21:06:00Z</cp:lastPrinted>
  <dcterms:created xsi:type="dcterms:W3CDTF">2017-11-07T20:59:00Z</dcterms:created>
  <dcterms:modified xsi:type="dcterms:W3CDTF">2017-11-12T05:37:00Z</dcterms:modified>
</cp:coreProperties>
</file>